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5008" w14:textId="77777777" w:rsidR="00AF5E5F" w:rsidRDefault="00AF5E5F" w:rsidP="00AF5E5F"/>
    <w:p w14:paraId="63D35408" w14:textId="2632F3D7" w:rsidR="00D40614" w:rsidRPr="00C354E2" w:rsidRDefault="00A217D1" w:rsidP="00AF5E5F">
      <w:pPr>
        <w:pStyle w:val="Heading1"/>
        <w:jc w:val="center"/>
      </w:pPr>
      <w:r>
        <w:t>Child Safety</w:t>
      </w:r>
    </w:p>
    <w:p w14:paraId="3D4BAC18" w14:textId="77777777" w:rsidR="00D40614" w:rsidRPr="000F3089" w:rsidRDefault="00D40614" w:rsidP="00D40614">
      <w:pPr>
        <w:pStyle w:val="Heading1"/>
        <w:jc w:val="center"/>
        <w:rPr>
          <w:szCs w:val="48"/>
        </w:rPr>
      </w:pPr>
      <w:r>
        <w:rPr>
          <w:szCs w:val="48"/>
        </w:rPr>
        <w:t>PROCEDURE</w:t>
      </w:r>
    </w:p>
    <w:p w14:paraId="1B15F1DB" w14:textId="77777777" w:rsidR="00D40614" w:rsidRDefault="00D40614" w:rsidP="00D40614">
      <w:pPr>
        <w:pBdr>
          <w:bottom w:val="single" w:sz="4" w:space="1" w:color="auto"/>
        </w:pBdr>
        <w:rPr>
          <w:sz w:val="12"/>
        </w:rPr>
        <w:sectPr w:rsidR="00D40614" w:rsidSect="00AF5E5F">
          <w:headerReference w:type="default" r:id="rId7"/>
          <w:footerReference w:type="default" r:id="rId8"/>
          <w:pgSz w:w="11906" w:h="16838"/>
          <w:pgMar w:top="1985" w:right="1134" w:bottom="1135" w:left="1134" w:header="709" w:footer="907" w:gutter="0"/>
          <w:cols w:space="709"/>
          <w:docGrid w:linePitch="360"/>
        </w:sectPr>
      </w:pPr>
    </w:p>
    <w:p w14:paraId="33EC2FEF" w14:textId="77777777" w:rsidR="00D40614" w:rsidRDefault="00D40614" w:rsidP="00D40614">
      <w:pPr>
        <w:pBdr>
          <w:bottom w:val="single" w:sz="4" w:space="1" w:color="auto"/>
        </w:pBdr>
        <w:rPr>
          <w:sz w:val="12"/>
        </w:rPr>
      </w:pPr>
    </w:p>
    <w:p w14:paraId="06F7A158" w14:textId="0B1521C2" w:rsidR="00D40614" w:rsidRPr="007304F3" w:rsidRDefault="00D40614" w:rsidP="00D40614">
      <w:pPr>
        <w:tabs>
          <w:tab w:val="left" w:pos="2835"/>
        </w:tabs>
        <w:ind w:left="2835" w:hanging="2835"/>
        <w:rPr>
          <w:sz w:val="28"/>
          <w:szCs w:val="28"/>
        </w:rPr>
      </w:pPr>
      <w:r w:rsidRPr="000F3089">
        <w:rPr>
          <w:b/>
          <w:sz w:val="28"/>
          <w:szCs w:val="28"/>
        </w:rPr>
        <w:t>Title:</w:t>
      </w:r>
      <w:r w:rsidRPr="000F3089">
        <w:rPr>
          <w:sz w:val="28"/>
          <w:szCs w:val="28"/>
        </w:rPr>
        <w:t xml:space="preserve"> </w:t>
      </w:r>
      <w:r w:rsidRPr="000F3089">
        <w:rPr>
          <w:sz w:val="28"/>
          <w:szCs w:val="28"/>
        </w:rPr>
        <w:tab/>
      </w:r>
      <w:r w:rsidR="00DF0A82" w:rsidRPr="007304F3">
        <w:rPr>
          <w:sz w:val="28"/>
          <w:szCs w:val="28"/>
        </w:rPr>
        <w:t>Child Related Costs – Health and Wellbeing</w:t>
      </w:r>
    </w:p>
    <w:p w14:paraId="7A14E6D8" w14:textId="7130873D" w:rsidR="00D10E6A" w:rsidRPr="000F3089" w:rsidRDefault="00D10E6A" w:rsidP="00D40614">
      <w:pPr>
        <w:tabs>
          <w:tab w:val="left" w:pos="2835"/>
        </w:tabs>
        <w:ind w:left="2835" w:hanging="2835"/>
        <w:rPr>
          <w:sz w:val="28"/>
          <w:szCs w:val="28"/>
        </w:rPr>
      </w:pPr>
      <w:r w:rsidRPr="007304F3">
        <w:rPr>
          <w:b/>
          <w:sz w:val="28"/>
          <w:szCs w:val="28"/>
        </w:rPr>
        <w:t>Procedure No:</w:t>
      </w:r>
      <w:r w:rsidRPr="007304F3">
        <w:rPr>
          <w:b/>
          <w:sz w:val="28"/>
          <w:szCs w:val="28"/>
        </w:rPr>
        <w:tab/>
      </w:r>
      <w:r w:rsidRPr="007304F3">
        <w:rPr>
          <w:sz w:val="28"/>
          <w:szCs w:val="28"/>
        </w:rPr>
        <w:t>645.1-</w:t>
      </w:r>
      <w:r w:rsidR="00E6610A" w:rsidRPr="007304F3">
        <w:rPr>
          <w:sz w:val="28"/>
          <w:szCs w:val="28"/>
        </w:rPr>
        <w:t>3</w:t>
      </w:r>
    </w:p>
    <w:p w14:paraId="64F56550" w14:textId="77777777" w:rsidR="00D40614" w:rsidRDefault="00D40614" w:rsidP="00D40614">
      <w:pPr>
        <w:pBdr>
          <w:bottom w:val="single" w:sz="4" w:space="1" w:color="auto"/>
        </w:pBdr>
        <w:rPr>
          <w:sz w:val="12"/>
        </w:rPr>
      </w:pPr>
    </w:p>
    <w:p w14:paraId="4ABC3E72" w14:textId="77777777" w:rsidR="00DF0A82" w:rsidRPr="007C4F17" w:rsidRDefault="00DF0A82" w:rsidP="00AC597F">
      <w:pPr>
        <w:pStyle w:val="Heading2"/>
      </w:pPr>
      <w:r w:rsidRPr="007C4F17">
        <w:t>Purpose</w:t>
      </w:r>
    </w:p>
    <w:p w14:paraId="32B483B7" w14:textId="6A7EE6C7" w:rsidR="00DF0A82" w:rsidRDefault="00DF0A82" w:rsidP="00AC597F">
      <w:pPr>
        <w:pStyle w:val="BodyText2"/>
        <w:spacing w:after="0" w:line="240" w:lineRule="auto"/>
        <w:jc w:val="both"/>
        <w:rPr>
          <w:szCs w:val="22"/>
        </w:rPr>
      </w:pPr>
      <w:r w:rsidRPr="00BF7EBB">
        <w:rPr>
          <w:szCs w:val="22"/>
        </w:rPr>
        <w:t xml:space="preserve">This procedure guides </w:t>
      </w:r>
      <w:r>
        <w:rPr>
          <w:szCs w:val="22"/>
        </w:rPr>
        <w:t xml:space="preserve">the use of Child Related Costs (CRC) </w:t>
      </w:r>
      <w:r w:rsidR="002F5CDA">
        <w:rPr>
          <w:szCs w:val="22"/>
        </w:rPr>
        <w:t>when funding</w:t>
      </w:r>
      <w:r w:rsidRPr="00BF7EBB">
        <w:rPr>
          <w:szCs w:val="22"/>
        </w:rPr>
        <w:t xml:space="preserve"> health and wellbeing related services required to support children and young people </w:t>
      </w:r>
      <w:r w:rsidRPr="0006217A">
        <w:rPr>
          <w:szCs w:val="22"/>
        </w:rPr>
        <w:t>in care or who have had a care experience</w:t>
      </w:r>
      <w:r>
        <w:rPr>
          <w:szCs w:val="22"/>
        </w:rPr>
        <w:t>, which includes</w:t>
      </w:r>
      <w:r w:rsidRPr="0006217A">
        <w:rPr>
          <w:szCs w:val="22"/>
        </w:rPr>
        <w:t xml:space="preserve"> children and young people </w:t>
      </w:r>
      <w:r>
        <w:rPr>
          <w:szCs w:val="22"/>
        </w:rPr>
        <w:t>subject to statutory intervention with Child Safety or support service cases</w:t>
      </w:r>
      <w:r w:rsidRPr="00BF7EBB">
        <w:rPr>
          <w:szCs w:val="22"/>
        </w:rPr>
        <w:t xml:space="preserve">.  </w:t>
      </w:r>
    </w:p>
    <w:p w14:paraId="522DD753" w14:textId="77777777" w:rsidR="00DF0A82" w:rsidRDefault="00DF0A82" w:rsidP="00AC597F">
      <w:pPr>
        <w:pStyle w:val="BodyText2"/>
        <w:spacing w:after="0" w:line="240" w:lineRule="auto"/>
        <w:jc w:val="both"/>
        <w:rPr>
          <w:szCs w:val="22"/>
        </w:rPr>
      </w:pPr>
    </w:p>
    <w:p w14:paraId="43AA6ECF" w14:textId="36CAA548" w:rsidR="00DF0A82" w:rsidRPr="00BF7EBB" w:rsidRDefault="00DF0A82" w:rsidP="00AC597F">
      <w:pPr>
        <w:pStyle w:val="BodyText2"/>
        <w:spacing w:after="0" w:line="240" w:lineRule="auto"/>
        <w:jc w:val="both"/>
        <w:rPr>
          <w:szCs w:val="22"/>
        </w:rPr>
      </w:pPr>
      <w:r w:rsidRPr="00BF7EBB">
        <w:rPr>
          <w:szCs w:val="22"/>
        </w:rPr>
        <w:t>This procedure is to be used in line with th</w:t>
      </w:r>
      <w:r w:rsidR="00D10E6A">
        <w:rPr>
          <w:szCs w:val="22"/>
        </w:rPr>
        <w:t xml:space="preserve">e Child Related Costs Policy </w:t>
      </w:r>
      <w:r w:rsidR="00CC3103">
        <w:rPr>
          <w:szCs w:val="22"/>
        </w:rPr>
        <w:t>(CRC Policy)</w:t>
      </w:r>
      <w:r w:rsidR="00DD28C5">
        <w:rPr>
          <w:szCs w:val="22"/>
        </w:rPr>
        <w:t xml:space="preserve"> </w:t>
      </w:r>
      <w:r w:rsidR="00D10E6A">
        <w:rPr>
          <w:szCs w:val="22"/>
        </w:rPr>
        <w:t>– 645</w:t>
      </w:r>
      <w:r w:rsidRPr="00BF7EBB">
        <w:rPr>
          <w:szCs w:val="22"/>
        </w:rPr>
        <w:t>.</w:t>
      </w:r>
    </w:p>
    <w:p w14:paraId="0942B9BF" w14:textId="77777777" w:rsidR="00E37457" w:rsidRPr="00E37457" w:rsidRDefault="00E37457" w:rsidP="00DF0A82">
      <w:pPr>
        <w:jc w:val="both"/>
        <w:rPr>
          <w:b/>
          <w:sz w:val="8"/>
        </w:rPr>
      </w:pPr>
    </w:p>
    <w:p w14:paraId="38E1AD4D" w14:textId="77777777" w:rsidR="00DF0A82" w:rsidRDefault="00DF0A82" w:rsidP="00037DA7">
      <w:pPr>
        <w:pStyle w:val="Heading2"/>
        <w:contextualSpacing/>
      </w:pPr>
      <w:r>
        <w:t>Scope</w:t>
      </w:r>
    </w:p>
    <w:p w14:paraId="66379C45" w14:textId="4E06A672" w:rsidR="00D10E6A" w:rsidRDefault="00DF0A82" w:rsidP="00037DA7">
      <w:pPr>
        <w:pStyle w:val="BodyText"/>
        <w:spacing w:after="0"/>
        <w:contextualSpacing/>
        <w:jc w:val="both"/>
        <w:rPr>
          <w:b w:val="0"/>
          <w:szCs w:val="22"/>
        </w:rPr>
      </w:pPr>
      <w:r>
        <w:rPr>
          <w:b w:val="0"/>
          <w:szCs w:val="22"/>
        </w:rPr>
        <w:t xml:space="preserve">CRC </w:t>
      </w:r>
      <w:r w:rsidR="0032052F">
        <w:rPr>
          <w:b w:val="0"/>
          <w:szCs w:val="22"/>
        </w:rPr>
        <w:t>H</w:t>
      </w:r>
      <w:r>
        <w:rPr>
          <w:b w:val="0"/>
          <w:szCs w:val="22"/>
        </w:rPr>
        <w:t xml:space="preserve">ealth and </w:t>
      </w:r>
      <w:r w:rsidR="0032052F">
        <w:rPr>
          <w:b w:val="0"/>
          <w:szCs w:val="22"/>
        </w:rPr>
        <w:t>W</w:t>
      </w:r>
      <w:r>
        <w:rPr>
          <w:b w:val="0"/>
          <w:szCs w:val="22"/>
        </w:rPr>
        <w:t xml:space="preserve">ellbeing covers a variety of services that may be required to support children and young people in care or who have had a care experience.  </w:t>
      </w:r>
    </w:p>
    <w:p w14:paraId="7AEACA1A" w14:textId="77777777" w:rsidR="00D10E6A" w:rsidRDefault="00D10E6A" w:rsidP="00D10E6A">
      <w:pPr>
        <w:pStyle w:val="BodyText"/>
        <w:spacing w:after="0"/>
        <w:jc w:val="both"/>
        <w:rPr>
          <w:b w:val="0"/>
          <w:szCs w:val="22"/>
        </w:rPr>
      </w:pPr>
    </w:p>
    <w:p w14:paraId="63BF117A" w14:textId="00EA5181" w:rsidR="00037DA7" w:rsidRDefault="00037DA7" w:rsidP="00037DA7">
      <w:pPr>
        <w:pStyle w:val="BodyText"/>
        <w:spacing w:after="0"/>
        <w:jc w:val="both"/>
        <w:rPr>
          <w:b w:val="0"/>
          <w:szCs w:val="22"/>
        </w:rPr>
      </w:pPr>
      <w:r w:rsidRPr="00037DA7">
        <w:rPr>
          <w:b w:val="0"/>
          <w:szCs w:val="22"/>
        </w:rPr>
        <w:t xml:space="preserve">The following categories are part of the CRC </w:t>
      </w:r>
      <w:r>
        <w:rPr>
          <w:b w:val="0"/>
          <w:szCs w:val="22"/>
        </w:rPr>
        <w:t>Health and Wellbeing</w:t>
      </w:r>
      <w:r w:rsidRPr="00037DA7">
        <w:rPr>
          <w:b w:val="0"/>
          <w:szCs w:val="22"/>
        </w:rPr>
        <w:t xml:space="preserve"> procedure and show the associated General Ledger (G/L) Account Code:</w:t>
      </w:r>
    </w:p>
    <w:p w14:paraId="45CF90EF" w14:textId="77777777" w:rsidR="00037DA7" w:rsidRDefault="00037DA7" w:rsidP="00037DA7">
      <w:pPr>
        <w:pStyle w:val="BodyText"/>
        <w:spacing w:after="0"/>
        <w:jc w:val="both"/>
        <w:rPr>
          <w:b w:val="0"/>
          <w:szCs w:val="22"/>
        </w:rPr>
      </w:pPr>
    </w:p>
    <w:p w14:paraId="25EFF93D" w14:textId="5A322D9B" w:rsidR="00D10E6A" w:rsidRPr="00D10E6A" w:rsidRDefault="00DF0A82" w:rsidP="00037DA7">
      <w:pPr>
        <w:pStyle w:val="BodyText"/>
        <w:numPr>
          <w:ilvl w:val="0"/>
          <w:numId w:val="2"/>
        </w:numPr>
        <w:spacing w:after="0"/>
        <w:ind w:left="709"/>
        <w:jc w:val="both"/>
        <w:rPr>
          <w:b w:val="0"/>
          <w:bCs/>
          <w:szCs w:val="22"/>
        </w:rPr>
      </w:pPr>
      <w:r w:rsidRPr="008C5E25">
        <w:rPr>
          <w:b w:val="0"/>
          <w:szCs w:val="22"/>
        </w:rPr>
        <w:t>General health services</w:t>
      </w:r>
      <w:r w:rsidR="00D10E6A">
        <w:rPr>
          <w:b w:val="0"/>
          <w:szCs w:val="22"/>
        </w:rPr>
        <w:t xml:space="preserve"> </w:t>
      </w:r>
      <w:r w:rsidR="00D10E6A" w:rsidRPr="00D10E6A">
        <w:rPr>
          <w:b w:val="0"/>
          <w:bCs/>
          <w:szCs w:val="22"/>
        </w:rPr>
        <w:t>(</w:t>
      </w:r>
      <w:r w:rsidR="00037DA7">
        <w:rPr>
          <w:b w:val="0"/>
          <w:bCs/>
          <w:szCs w:val="22"/>
        </w:rPr>
        <w:t>G/L Account Code:</w:t>
      </w:r>
      <w:r w:rsidR="00D10E6A" w:rsidRPr="00D10E6A">
        <w:rPr>
          <w:b w:val="0"/>
          <w:bCs/>
          <w:szCs w:val="22"/>
        </w:rPr>
        <w:t xml:space="preserve"> 530415)</w:t>
      </w:r>
    </w:p>
    <w:p w14:paraId="258261E5" w14:textId="45AF4F57" w:rsidR="00DF0A82" w:rsidRPr="008C5E25" w:rsidRDefault="00DF0A82" w:rsidP="00DF0A82">
      <w:pPr>
        <w:pStyle w:val="BodyText"/>
        <w:numPr>
          <w:ilvl w:val="0"/>
          <w:numId w:val="2"/>
        </w:numPr>
        <w:spacing w:after="0"/>
        <w:ind w:left="714" w:hanging="357"/>
        <w:jc w:val="both"/>
        <w:rPr>
          <w:b w:val="0"/>
          <w:szCs w:val="22"/>
        </w:rPr>
      </w:pPr>
      <w:r w:rsidRPr="008C5E25">
        <w:rPr>
          <w:b w:val="0"/>
          <w:szCs w:val="22"/>
        </w:rPr>
        <w:t>Specialist physical health services</w:t>
      </w:r>
      <w:r w:rsidR="00D10E6A">
        <w:rPr>
          <w:b w:val="0"/>
          <w:szCs w:val="22"/>
        </w:rPr>
        <w:t xml:space="preserve"> (</w:t>
      </w:r>
      <w:r w:rsidR="00037DA7">
        <w:rPr>
          <w:b w:val="0"/>
          <w:szCs w:val="22"/>
        </w:rPr>
        <w:t>G/L Account Code:</w:t>
      </w:r>
      <w:r w:rsidR="00D10E6A">
        <w:rPr>
          <w:b w:val="0"/>
          <w:szCs w:val="22"/>
        </w:rPr>
        <w:t xml:space="preserve"> </w:t>
      </w:r>
      <w:r w:rsidR="00424F02">
        <w:rPr>
          <w:b w:val="0"/>
          <w:szCs w:val="22"/>
        </w:rPr>
        <w:t>540413)</w:t>
      </w:r>
    </w:p>
    <w:p w14:paraId="15F256A6" w14:textId="630C641B" w:rsidR="00DF0A82" w:rsidRPr="008C5E25" w:rsidRDefault="00DF0A82" w:rsidP="00DF0A82">
      <w:pPr>
        <w:pStyle w:val="BodyText"/>
        <w:numPr>
          <w:ilvl w:val="0"/>
          <w:numId w:val="2"/>
        </w:numPr>
        <w:spacing w:after="0"/>
        <w:ind w:left="714" w:hanging="357"/>
        <w:jc w:val="both"/>
        <w:rPr>
          <w:b w:val="0"/>
          <w:szCs w:val="22"/>
        </w:rPr>
      </w:pPr>
      <w:r w:rsidRPr="008C5E25">
        <w:rPr>
          <w:b w:val="0"/>
          <w:szCs w:val="22"/>
        </w:rPr>
        <w:t xml:space="preserve">Specialist mental health services </w:t>
      </w:r>
      <w:r w:rsidR="00D10E6A">
        <w:rPr>
          <w:b w:val="0"/>
          <w:szCs w:val="22"/>
        </w:rPr>
        <w:t>(</w:t>
      </w:r>
      <w:r w:rsidR="00037DA7">
        <w:rPr>
          <w:b w:val="0"/>
          <w:szCs w:val="22"/>
        </w:rPr>
        <w:t>G/L Account Code:</w:t>
      </w:r>
      <w:r w:rsidR="00D10E6A">
        <w:rPr>
          <w:b w:val="0"/>
          <w:szCs w:val="22"/>
        </w:rPr>
        <w:t xml:space="preserve"> </w:t>
      </w:r>
      <w:r w:rsidR="00424F02">
        <w:rPr>
          <w:b w:val="0"/>
          <w:szCs w:val="22"/>
        </w:rPr>
        <w:t>530409)</w:t>
      </w:r>
    </w:p>
    <w:p w14:paraId="0CF2EA96" w14:textId="7C44FF66" w:rsidR="00DF0A82" w:rsidRPr="008C5E25" w:rsidRDefault="00DF0A82" w:rsidP="00DF0A82">
      <w:pPr>
        <w:pStyle w:val="BodyText"/>
        <w:numPr>
          <w:ilvl w:val="0"/>
          <w:numId w:val="2"/>
        </w:numPr>
        <w:spacing w:after="0"/>
        <w:ind w:left="714" w:hanging="357"/>
        <w:jc w:val="both"/>
        <w:rPr>
          <w:b w:val="0"/>
          <w:szCs w:val="22"/>
        </w:rPr>
      </w:pPr>
      <w:r w:rsidRPr="008C5E25">
        <w:rPr>
          <w:b w:val="0"/>
          <w:szCs w:val="22"/>
        </w:rPr>
        <w:t>Hospital services</w:t>
      </w:r>
      <w:r w:rsidR="00D10E6A">
        <w:rPr>
          <w:b w:val="0"/>
          <w:szCs w:val="22"/>
        </w:rPr>
        <w:t xml:space="preserve"> (</w:t>
      </w:r>
      <w:r w:rsidR="00037DA7">
        <w:rPr>
          <w:b w:val="0"/>
          <w:szCs w:val="22"/>
        </w:rPr>
        <w:t>G/L Account Code:</w:t>
      </w:r>
      <w:r w:rsidR="00D10E6A">
        <w:rPr>
          <w:b w:val="0"/>
          <w:szCs w:val="22"/>
        </w:rPr>
        <w:t xml:space="preserve"> </w:t>
      </w:r>
      <w:r w:rsidR="00424F02">
        <w:rPr>
          <w:b w:val="0"/>
          <w:szCs w:val="22"/>
        </w:rPr>
        <w:t>530411)</w:t>
      </w:r>
    </w:p>
    <w:p w14:paraId="5E1E2C85" w14:textId="6B4EE9F6" w:rsidR="00DF0A82" w:rsidRPr="008C5E25" w:rsidRDefault="00DF0A82" w:rsidP="00DF0A82">
      <w:pPr>
        <w:pStyle w:val="BodyText"/>
        <w:numPr>
          <w:ilvl w:val="0"/>
          <w:numId w:val="2"/>
        </w:numPr>
        <w:spacing w:after="0"/>
        <w:ind w:left="714" w:hanging="357"/>
        <w:jc w:val="both"/>
        <w:rPr>
          <w:b w:val="0"/>
          <w:szCs w:val="22"/>
        </w:rPr>
      </w:pPr>
      <w:r>
        <w:rPr>
          <w:b w:val="0"/>
          <w:szCs w:val="22"/>
        </w:rPr>
        <w:t>Dental and o</w:t>
      </w:r>
      <w:r w:rsidRPr="008C5E25">
        <w:rPr>
          <w:b w:val="0"/>
          <w:szCs w:val="22"/>
        </w:rPr>
        <w:t>rthodontic services</w:t>
      </w:r>
      <w:r w:rsidR="00D10E6A">
        <w:rPr>
          <w:b w:val="0"/>
          <w:szCs w:val="22"/>
        </w:rPr>
        <w:t xml:space="preserve"> (</w:t>
      </w:r>
      <w:r w:rsidR="00037DA7">
        <w:rPr>
          <w:b w:val="0"/>
          <w:szCs w:val="22"/>
        </w:rPr>
        <w:t>G/L Account Code:</w:t>
      </w:r>
      <w:r w:rsidR="00D10E6A">
        <w:rPr>
          <w:b w:val="0"/>
          <w:szCs w:val="22"/>
        </w:rPr>
        <w:t xml:space="preserve"> </w:t>
      </w:r>
      <w:r w:rsidR="00424F02">
        <w:rPr>
          <w:b w:val="0"/>
          <w:szCs w:val="22"/>
        </w:rPr>
        <w:t>530414)</w:t>
      </w:r>
    </w:p>
    <w:p w14:paraId="469ED4B7" w14:textId="3B757EE4" w:rsidR="00DF0A82" w:rsidRDefault="00DF0A82" w:rsidP="00DF0A82">
      <w:pPr>
        <w:pStyle w:val="BodyText"/>
        <w:numPr>
          <w:ilvl w:val="0"/>
          <w:numId w:val="2"/>
        </w:numPr>
        <w:spacing w:after="0"/>
        <w:ind w:left="714" w:hanging="357"/>
        <w:jc w:val="both"/>
        <w:rPr>
          <w:b w:val="0"/>
          <w:szCs w:val="22"/>
        </w:rPr>
      </w:pPr>
      <w:r>
        <w:rPr>
          <w:b w:val="0"/>
          <w:szCs w:val="22"/>
        </w:rPr>
        <w:t>Parental s</w:t>
      </w:r>
      <w:r w:rsidRPr="008C5E25">
        <w:rPr>
          <w:b w:val="0"/>
          <w:szCs w:val="22"/>
        </w:rPr>
        <w:t>ubstance testing services</w:t>
      </w:r>
      <w:r w:rsidR="00D10E6A">
        <w:rPr>
          <w:b w:val="0"/>
          <w:szCs w:val="22"/>
        </w:rPr>
        <w:t xml:space="preserve"> (</w:t>
      </w:r>
      <w:r w:rsidR="00037DA7">
        <w:rPr>
          <w:b w:val="0"/>
          <w:szCs w:val="22"/>
        </w:rPr>
        <w:t>G/L Account Code:</w:t>
      </w:r>
      <w:r w:rsidR="00424F02">
        <w:rPr>
          <w:b w:val="0"/>
          <w:szCs w:val="22"/>
        </w:rPr>
        <w:t xml:space="preserve"> 530412)</w:t>
      </w:r>
    </w:p>
    <w:p w14:paraId="5653479F" w14:textId="77777777" w:rsidR="00DF0A82" w:rsidRDefault="00DF0A82" w:rsidP="00DF0A82">
      <w:pPr>
        <w:spacing w:after="0"/>
        <w:jc w:val="both"/>
        <w:rPr>
          <w:b/>
        </w:rPr>
      </w:pPr>
    </w:p>
    <w:p w14:paraId="03969F3E" w14:textId="77777777" w:rsidR="00CA408D" w:rsidRPr="007304F3" w:rsidRDefault="00CA408D" w:rsidP="00CA408D">
      <w:pPr>
        <w:jc w:val="both"/>
      </w:pPr>
      <w:r w:rsidRPr="007304F3">
        <w:t>General Practitioners (GP) and public health services that provide bulk billing options for medical treatment are to be accessed as a first option for children and young people in care.</w:t>
      </w:r>
    </w:p>
    <w:p w14:paraId="6B51F79A" w14:textId="6DC12E16" w:rsidR="00E25CCB" w:rsidRPr="003E3195" w:rsidRDefault="00E25CCB" w:rsidP="00E25CCB">
      <w:pPr>
        <w:jc w:val="both"/>
      </w:pPr>
      <w:r w:rsidRPr="007304F3">
        <w:t xml:space="preserve">Where a range of individual specialist visits have been recommended as part of </w:t>
      </w:r>
      <w:r w:rsidRPr="00101257">
        <w:t>the</w:t>
      </w:r>
      <w:r w:rsidR="00BA47E0" w:rsidRPr="00101257">
        <w:t xml:space="preserve"> comprehensive</w:t>
      </w:r>
      <w:r w:rsidRPr="00101257">
        <w:t xml:space="preserve"> health assessment for the child or young person’s Child Health Passport, Child Safety will incur all costs for specialist appointments through CRC.</w:t>
      </w:r>
    </w:p>
    <w:p w14:paraId="5F67993E" w14:textId="52669AF5" w:rsidR="00037DA7" w:rsidRDefault="00DF0A82" w:rsidP="00DF0A82">
      <w:pPr>
        <w:jc w:val="both"/>
        <w:rPr>
          <w:szCs w:val="22"/>
        </w:rPr>
      </w:pPr>
      <w:r>
        <w:rPr>
          <w:szCs w:val="22"/>
        </w:rPr>
        <w:t>Prior to accessing</w:t>
      </w:r>
      <w:r w:rsidRPr="006D1C4D">
        <w:rPr>
          <w:szCs w:val="22"/>
        </w:rPr>
        <w:t xml:space="preserve"> </w:t>
      </w:r>
      <w:r>
        <w:rPr>
          <w:szCs w:val="22"/>
        </w:rPr>
        <w:t>CRC Health and W</w:t>
      </w:r>
      <w:r w:rsidRPr="0044143C">
        <w:rPr>
          <w:szCs w:val="22"/>
        </w:rPr>
        <w:t>ellbeing</w:t>
      </w:r>
      <w:r w:rsidR="00B575FB">
        <w:rPr>
          <w:szCs w:val="22"/>
        </w:rPr>
        <w:t>,</w:t>
      </w:r>
      <w:r>
        <w:rPr>
          <w:szCs w:val="22"/>
        </w:rPr>
        <w:t xml:space="preserve"> i</w:t>
      </w:r>
      <w:r w:rsidRPr="00E83ACD">
        <w:rPr>
          <w:szCs w:val="22"/>
        </w:rPr>
        <w:t xml:space="preserve">t is requested that where possible, </w:t>
      </w:r>
      <w:r w:rsidRPr="006D1C4D">
        <w:rPr>
          <w:szCs w:val="22"/>
        </w:rPr>
        <w:t>o</w:t>
      </w:r>
      <w:r>
        <w:rPr>
          <w:szCs w:val="22"/>
        </w:rPr>
        <w:t xml:space="preserve">ther sources of reimbursement be accessed </w:t>
      </w:r>
      <w:r w:rsidRPr="00E83ACD">
        <w:rPr>
          <w:szCs w:val="22"/>
        </w:rPr>
        <w:t>as a first option for children and young people in care</w:t>
      </w:r>
      <w:r>
        <w:rPr>
          <w:szCs w:val="22"/>
        </w:rPr>
        <w:t xml:space="preserve"> (for example, the Medicare threshold, Pharmaceutical Benefits Scheme (PBS), Patient Travel Subsidy Scheme). This includes accessing </w:t>
      </w:r>
      <w:r w:rsidRPr="00E83ACD">
        <w:rPr>
          <w:szCs w:val="22"/>
        </w:rPr>
        <w:t>General Practitioners (GP) and public health services that provide bulk billing options for medical treatment.</w:t>
      </w:r>
      <w:r w:rsidR="00946B8A">
        <w:rPr>
          <w:szCs w:val="22"/>
        </w:rPr>
        <w:t xml:space="preserve">  </w:t>
      </w:r>
    </w:p>
    <w:p w14:paraId="597245FE" w14:textId="77777777" w:rsidR="003907E1" w:rsidRDefault="003907E1" w:rsidP="00DF0A82">
      <w:pPr>
        <w:jc w:val="both"/>
        <w:rPr>
          <w:szCs w:val="22"/>
        </w:rPr>
      </w:pPr>
    </w:p>
    <w:p w14:paraId="53EF821E" w14:textId="2E7D2C5D" w:rsidR="00DF0A82" w:rsidRDefault="003907E1" w:rsidP="00DF0A82">
      <w:pPr>
        <w:jc w:val="both"/>
        <w:rPr>
          <w:szCs w:val="22"/>
        </w:rPr>
      </w:pPr>
      <w:r>
        <w:rPr>
          <w:szCs w:val="22"/>
        </w:rPr>
        <w:lastRenderedPageBreak/>
        <w:t>F</w:t>
      </w:r>
      <w:r w:rsidR="00946B8A">
        <w:rPr>
          <w:szCs w:val="22"/>
        </w:rPr>
        <w:t>or further information please refer to the following web sites:</w:t>
      </w:r>
    </w:p>
    <w:p w14:paraId="23648FA6" w14:textId="4B7C5193" w:rsidR="004135C9" w:rsidRPr="00845E95" w:rsidRDefault="00B15641" w:rsidP="0080694B">
      <w:pPr>
        <w:pStyle w:val="ListParagraph"/>
        <w:numPr>
          <w:ilvl w:val="0"/>
          <w:numId w:val="3"/>
        </w:numPr>
        <w:jc w:val="both"/>
      </w:pPr>
      <w:hyperlink r:id="rId9" w:history="1">
        <w:r w:rsidR="00946B8A" w:rsidRPr="00845E95">
          <w:rPr>
            <w:rStyle w:val="Hyperlink"/>
          </w:rPr>
          <w:t>www.humanservices.gov.au/individuals/medicare</w:t>
        </w:r>
      </w:hyperlink>
    </w:p>
    <w:p w14:paraId="7E72485F" w14:textId="77777777" w:rsidR="00946B8A" w:rsidRPr="00845E95" w:rsidRDefault="00B15641" w:rsidP="00946B8A">
      <w:pPr>
        <w:pStyle w:val="ListParagraph"/>
        <w:numPr>
          <w:ilvl w:val="0"/>
          <w:numId w:val="3"/>
        </w:numPr>
        <w:jc w:val="both"/>
      </w:pPr>
      <w:hyperlink r:id="rId10" w:history="1">
        <w:r w:rsidR="00946B8A" w:rsidRPr="00845E95">
          <w:rPr>
            <w:rStyle w:val="Hyperlink"/>
          </w:rPr>
          <w:t>www.health.qld.gov.au/mass</w:t>
        </w:r>
      </w:hyperlink>
    </w:p>
    <w:p w14:paraId="014F623F" w14:textId="77777777" w:rsidR="00946B8A" w:rsidRPr="00845E95" w:rsidRDefault="00B15641" w:rsidP="00946B8A">
      <w:pPr>
        <w:pStyle w:val="ListParagraph"/>
        <w:numPr>
          <w:ilvl w:val="0"/>
          <w:numId w:val="3"/>
        </w:numPr>
        <w:jc w:val="both"/>
        <w:rPr>
          <w:rStyle w:val="Hyperlink"/>
          <w:color w:val="auto"/>
          <w:u w:val="none"/>
        </w:rPr>
      </w:pPr>
      <w:hyperlink r:id="rId11" w:history="1">
        <w:r w:rsidR="00946B8A" w:rsidRPr="00845E95">
          <w:rPr>
            <w:rStyle w:val="Hyperlink"/>
          </w:rPr>
          <w:t>www.health.qld.gov.au/services</w:t>
        </w:r>
      </w:hyperlink>
    </w:p>
    <w:p w14:paraId="5D78B692" w14:textId="77777777" w:rsidR="00946B8A" w:rsidRPr="00845E95" w:rsidRDefault="00B15641" w:rsidP="00946B8A">
      <w:pPr>
        <w:pStyle w:val="ListParagraph"/>
        <w:numPr>
          <w:ilvl w:val="0"/>
          <w:numId w:val="3"/>
        </w:numPr>
        <w:jc w:val="both"/>
      </w:pPr>
      <w:hyperlink r:id="rId12" w:history="1">
        <w:r w:rsidR="00946B8A" w:rsidRPr="00845E95">
          <w:rPr>
            <w:rStyle w:val="Hyperlink"/>
          </w:rPr>
          <w:t>http://www.pbs.gov.au/info/about-the-pbs</w:t>
        </w:r>
      </w:hyperlink>
    </w:p>
    <w:p w14:paraId="265F8D32" w14:textId="78314762" w:rsidR="00DF0A82" w:rsidRDefault="00DF0A82" w:rsidP="00DF0A82">
      <w:pPr>
        <w:jc w:val="both"/>
      </w:pPr>
      <w:r>
        <w:t>In addition, c</w:t>
      </w:r>
      <w:r w:rsidRPr="004C69C0">
        <w:t>arer</w:t>
      </w:r>
      <w:r>
        <w:t>s</w:t>
      </w:r>
      <w:r w:rsidRPr="004C69C0">
        <w:t xml:space="preserve"> and/or child or young person’s Health Care Card </w:t>
      </w:r>
      <w:r>
        <w:t xml:space="preserve">must also be utilised on all occasions, where possible. </w:t>
      </w:r>
      <w:r w:rsidR="00562CB6">
        <w:t xml:space="preserve"> Please refer to the following link for further information on Health Care Cards:</w:t>
      </w:r>
    </w:p>
    <w:p w14:paraId="19B60D84" w14:textId="6A0F5B52" w:rsidR="00562CB6" w:rsidRDefault="00B15641" w:rsidP="00572458">
      <w:pPr>
        <w:pStyle w:val="ListParagraph"/>
        <w:numPr>
          <w:ilvl w:val="0"/>
          <w:numId w:val="3"/>
        </w:numPr>
        <w:jc w:val="both"/>
      </w:pPr>
      <w:hyperlink r:id="rId13" w:history="1">
        <w:r w:rsidR="00562CB6" w:rsidRPr="002B3BC1">
          <w:rPr>
            <w:rStyle w:val="Hyperlink"/>
          </w:rPr>
          <w:t>https://www.humanservices.gov.au/individuals/services/centrelink/health-care-card</w:t>
        </w:r>
      </w:hyperlink>
    </w:p>
    <w:p w14:paraId="2F192BE4" w14:textId="77777777" w:rsidR="00F6058F" w:rsidRDefault="00C477B9" w:rsidP="00C477B9">
      <w:pPr>
        <w:pStyle w:val="BodyText"/>
        <w:spacing w:after="0"/>
        <w:jc w:val="both"/>
      </w:pPr>
      <w:r w:rsidRPr="003E3195">
        <w:t>Process</w:t>
      </w:r>
    </w:p>
    <w:p w14:paraId="67A3F543" w14:textId="702C4C8A" w:rsidR="00037DA7" w:rsidRDefault="00037DA7" w:rsidP="00037DA7">
      <w:pPr>
        <w:jc w:val="both"/>
        <w:rPr>
          <w:b/>
          <w:szCs w:val="22"/>
        </w:rPr>
      </w:pPr>
      <w:r>
        <w:rPr>
          <w:bCs/>
        </w:rPr>
        <w:t xml:space="preserve">Upon a </w:t>
      </w:r>
      <w:r w:rsidR="00921A5E">
        <w:rPr>
          <w:bCs/>
        </w:rPr>
        <w:t xml:space="preserve">CRC </w:t>
      </w:r>
      <w:r>
        <w:rPr>
          <w:bCs/>
        </w:rPr>
        <w:t>request being received by the Child Safety Officer (CSO)</w:t>
      </w:r>
      <w:r w:rsidR="00921A5E">
        <w:rPr>
          <w:bCs/>
        </w:rPr>
        <w:t>,</w:t>
      </w:r>
      <w:r>
        <w:rPr>
          <w:bCs/>
        </w:rPr>
        <w:t xml:space="preserve"> the CSO is to refer to the CRC Policy – 645 and the corresponding procedure to determine if the request meets the guidelines for CRC.</w:t>
      </w:r>
    </w:p>
    <w:p w14:paraId="180501BB" w14:textId="6E8134E7" w:rsidR="00037DA7" w:rsidRDefault="00037DA7" w:rsidP="00037DA7">
      <w:pPr>
        <w:pStyle w:val="BodyText"/>
        <w:spacing w:after="0"/>
        <w:jc w:val="both"/>
        <w:rPr>
          <w:b w:val="0"/>
          <w:bCs/>
        </w:rPr>
      </w:pPr>
      <w:r>
        <w:rPr>
          <w:b w:val="0"/>
          <w:bCs/>
        </w:rPr>
        <w:t xml:space="preserve">Once the CSO has determined that the guidelines </w:t>
      </w:r>
      <w:r w:rsidR="00921A5E">
        <w:rPr>
          <w:b w:val="0"/>
          <w:bCs/>
        </w:rPr>
        <w:t>are</w:t>
      </w:r>
      <w:r>
        <w:rPr>
          <w:b w:val="0"/>
          <w:bCs/>
        </w:rPr>
        <w:t xml:space="preserve"> met</w:t>
      </w:r>
      <w:r w:rsidR="0032052F">
        <w:rPr>
          <w:b w:val="0"/>
          <w:bCs/>
        </w:rPr>
        <w:t>,</w:t>
      </w:r>
      <w:r>
        <w:rPr>
          <w:b w:val="0"/>
          <w:bCs/>
        </w:rPr>
        <w:t xml:space="preserve"> the CSO can progress the request for approval. To progress approval the CSO will consult with their Business Officer and relevant financial delegate for the request.</w:t>
      </w:r>
    </w:p>
    <w:p w14:paraId="1320161D" w14:textId="77777777" w:rsidR="00037DA7" w:rsidRDefault="00037DA7" w:rsidP="00037DA7">
      <w:pPr>
        <w:pStyle w:val="BodyText"/>
        <w:spacing w:after="0"/>
        <w:jc w:val="both"/>
        <w:rPr>
          <w:b w:val="0"/>
          <w:bCs/>
        </w:rPr>
      </w:pPr>
    </w:p>
    <w:p w14:paraId="50FD0C55" w14:textId="516F6B89" w:rsidR="00037DA7" w:rsidRDefault="00037DA7" w:rsidP="00037DA7">
      <w:pPr>
        <w:pStyle w:val="BodyText"/>
        <w:spacing w:after="0"/>
        <w:jc w:val="both"/>
        <w:rPr>
          <w:b w:val="0"/>
          <w:bCs/>
        </w:rPr>
      </w:pPr>
      <w:r>
        <w:rPr>
          <w:b w:val="0"/>
          <w:bCs/>
        </w:rPr>
        <w:t xml:space="preserve">Business Officers in each Child Safety Service Centre (CSSC) are authorised to manage and pay requests </w:t>
      </w:r>
      <w:r w:rsidR="00CF6C7C">
        <w:rPr>
          <w:b w:val="0"/>
          <w:bCs/>
        </w:rPr>
        <w:t>up to and in accordance with their delegated authority</w:t>
      </w:r>
      <w:r>
        <w:rPr>
          <w:b w:val="0"/>
          <w:bCs/>
        </w:rPr>
        <w:t xml:space="preserve">. </w:t>
      </w:r>
    </w:p>
    <w:p w14:paraId="16CF02C1" w14:textId="77777777" w:rsidR="00037DA7" w:rsidRDefault="00037DA7" w:rsidP="00037DA7">
      <w:pPr>
        <w:pStyle w:val="BodyText"/>
        <w:spacing w:after="0"/>
        <w:jc w:val="both"/>
        <w:rPr>
          <w:b w:val="0"/>
          <w:bCs/>
        </w:rPr>
      </w:pPr>
      <w:r>
        <w:rPr>
          <w:b w:val="0"/>
          <w:bCs/>
        </w:rPr>
        <w:t> </w:t>
      </w:r>
    </w:p>
    <w:p w14:paraId="1EA972D8" w14:textId="4BB7B538" w:rsidR="00037DA7" w:rsidRDefault="00037DA7" w:rsidP="00037DA7">
      <w:pPr>
        <w:pStyle w:val="BodyText"/>
        <w:spacing w:after="0"/>
        <w:jc w:val="both"/>
        <w:rPr>
          <w:b w:val="0"/>
          <w:bCs/>
        </w:rPr>
      </w:pPr>
      <w:r>
        <w:rPr>
          <w:b w:val="0"/>
          <w:bCs/>
        </w:rPr>
        <w:t xml:space="preserve">The carer, child, young </w:t>
      </w:r>
      <w:proofErr w:type="gramStart"/>
      <w:r>
        <w:rPr>
          <w:b w:val="0"/>
          <w:bCs/>
        </w:rPr>
        <w:t>person</w:t>
      </w:r>
      <w:proofErr w:type="gramEnd"/>
      <w:r>
        <w:rPr>
          <w:b w:val="0"/>
          <w:bCs/>
        </w:rPr>
        <w:t xml:space="preserve"> or parent will be required to provide receipts for all reimbursement requests. </w:t>
      </w:r>
    </w:p>
    <w:p w14:paraId="65A77BF1" w14:textId="77777777" w:rsidR="00037DA7" w:rsidRDefault="00037DA7" w:rsidP="00037DA7">
      <w:pPr>
        <w:pStyle w:val="BodyText"/>
        <w:spacing w:after="0"/>
        <w:jc w:val="both"/>
        <w:rPr>
          <w:b w:val="0"/>
          <w:bCs/>
        </w:rPr>
      </w:pPr>
    </w:p>
    <w:p w14:paraId="654AC495" w14:textId="5E287E18" w:rsidR="00037DA7" w:rsidRDefault="00921A5E" w:rsidP="00037DA7">
      <w:pPr>
        <w:pStyle w:val="BodyText"/>
        <w:spacing w:after="0"/>
        <w:jc w:val="both"/>
        <w:rPr>
          <w:b w:val="0"/>
          <w:bCs/>
        </w:rPr>
      </w:pPr>
      <w:r>
        <w:rPr>
          <w:b w:val="0"/>
          <w:bCs/>
        </w:rPr>
        <w:t>For r</w:t>
      </w:r>
      <w:r w:rsidR="00037DA7">
        <w:rPr>
          <w:b w:val="0"/>
          <w:bCs/>
        </w:rPr>
        <w:t>equests for payment/reimbursement of $100 or under</w:t>
      </w:r>
      <w:r>
        <w:rPr>
          <w:b w:val="0"/>
          <w:bCs/>
        </w:rPr>
        <w:t xml:space="preserve">, </w:t>
      </w:r>
      <w:r w:rsidR="00037DA7">
        <w:rPr>
          <w:b w:val="0"/>
          <w:bCs/>
        </w:rPr>
        <w:t xml:space="preserve">a CRC form </w:t>
      </w:r>
      <w:r w:rsidR="0032052F">
        <w:rPr>
          <w:b w:val="0"/>
          <w:bCs/>
        </w:rPr>
        <w:t>is</w:t>
      </w:r>
      <w:r>
        <w:rPr>
          <w:b w:val="0"/>
          <w:bCs/>
        </w:rPr>
        <w:t xml:space="preserve"> not required</w:t>
      </w:r>
      <w:r w:rsidR="00037DA7">
        <w:rPr>
          <w:b w:val="0"/>
          <w:bCs/>
        </w:rPr>
        <w:t xml:space="preserve">.  </w:t>
      </w:r>
      <w:r>
        <w:rPr>
          <w:b w:val="0"/>
          <w:bCs/>
        </w:rPr>
        <w:t>C</w:t>
      </w:r>
      <w:r w:rsidR="00037DA7">
        <w:rPr>
          <w:b w:val="0"/>
          <w:bCs/>
        </w:rPr>
        <w:t xml:space="preserve">onsultation between the Business Officer, CSO and Senior Team Leader </w:t>
      </w:r>
      <w:r>
        <w:rPr>
          <w:b w:val="0"/>
          <w:bCs/>
        </w:rPr>
        <w:t>is required</w:t>
      </w:r>
      <w:r w:rsidR="0032052F">
        <w:rPr>
          <w:b w:val="0"/>
          <w:bCs/>
        </w:rPr>
        <w:t xml:space="preserve"> to determine the outcome of the request. </w:t>
      </w:r>
      <w:r w:rsidR="0065272C">
        <w:rPr>
          <w:b w:val="0"/>
          <w:bCs/>
        </w:rPr>
        <w:t>I</w:t>
      </w:r>
      <w:r>
        <w:rPr>
          <w:b w:val="0"/>
          <w:bCs/>
        </w:rPr>
        <w:t xml:space="preserve">f the request is supported, </w:t>
      </w:r>
      <w:r w:rsidR="00037DA7">
        <w:rPr>
          <w:b w:val="0"/>
          <w:bCs/>
        </w:rPr>
        <w:t xml:space="preserve">the Business Officer will approve the request and process the reimbursement. </w:t>
      </w:r>
    </w:p>
    <w:p w14:paraId="006487E3" w14:textId="77777777" w:rsidR="00037DA7" w:rsidRDefault="00037DA7" w:rsidP="00037DA7">
      <w:pPr>
        <w:pStyle w:val="BodyText"/>
        <w:spacing w:after="0"/>
        <w:jc w:val="both"/>
        <w:rPr>
          <w:b w:val="0"/>
          <w:bCs/>
        </w:rPr>
      </w:pPr>
    </w:p>
    <w:p w14:paraId="282EDD45" w14:textId="3832BCB6" w:rsidR="00037DA7" w:rsidRDefault="00CF6C7C" w:rsidP="00037DA7">
      <w:pPr>
        <w:pStyle w:val="BodyText"/>
        <w:spacing w:after="0"/>
        <w:jc w:val="both"/>
        <w:rPr>
          <w:b w:val="0"/>
          <w:bCs/>
        </w:rPr>
      </w:pPr>
      <w:r>
        <w:rPr>
          <w:b w:val="0"/>
          <w:bCs/>
        </w:rPr>
        <w:t>For requests for payments/reimbursements over $100 a completed CRC form</w:t>
      </w:r>
      <w:r>
        <w:t xml:space="preserve"> </w:t>
      </w:r>
      <w:r>
        <w:rPr>
          <w:b w:val="0"/>
        </w:rPr>
        <w:t>is</w:t>
      </w:r>
      <w:r w:rsidRPr="00921A5E">
        <w:rPr>
          <w:b w:val="0"/>
        </w:rPr>
        <w:t xml:space="preserve"> </w:t>
      </w:r>
      <w:r>
        <w:rPr>
          <w:b w:val="0"/>
          <w:bCs/>
        </w:rPr>
        <w:t>required.  Consultation between the CSO, Senior Team Leader and the financial delegate is required to determine the outcome of the request. If the request is supported, the financial delegate will approve the request and Business Services will process the reimbursement.</w:t>
      </w:r>
    </w:p>
    <w:p w14:paraId="6CC4AA0C" w14:textId="77777777" w:rsidR="00037DA7" w:rsidRDefault="00037DA7" w:rsidP="00037DA7">
      <w:pPr>
        <w:pStyle w:val="BodyText"/>
        <w:spacing w:after="0"/>
        <w:jc w:val="both"/>
        <w:rPr>
          <w:b w:val="0"/>
          <w:bCs/>
        </w:rPr>
      </w:pPr>
    </w:p>
    <w:p w14:paraId="02BEE8FE" w14:textId="0C12E1C9" w:rsidR="005F10D6" w:rsidRPr="00E87371" w:rsidRDefault="005F10D6" w:rsidP="005F10D6">
      <w:pPr>
        <w:pStyle w:val="BodyText"/>
        <w:spacing w:after="0"/>
        <w:jc w:val="both"/>
        <w:rPr>
          <w:b w:val="0"/>
          <w:bCs/>
          <w:i/>
          <w:iCs/>
        </w:rPr>
      </w:pPr>
      <w:r w:rsidRPr="00E87371">
        <w:rPr>
          <w:b w:val="0"/>
          <w:bCs/>
          <w:i/>
          <w:iCs/>
        </w:rPr>
        <w:t xml:space="preserve">A link to the financial delegations has been provided </w:t>
      </w:r>
      <w:r w:rsidR="0039337B">
        <w:rPr>
          <w:b w:val="0"/>
          <w:bCs/>
          <w:i/>
          <w:iCs/>
        </w:rPr>
        <w:t xml:space="preserve">under Delegations </w:t>
      </w:r>
      <w:r w:rsidRPr="00E87371">
        <w:rPr>
          <w:b w:val="0"/>
          <w:bCs/>
          <w:i/>
          <w:iCs/>
        </w:rPr>
        <w:t>at the end of this procedure.</w:t>
      </w:r>
    </w:p>
    <w:p w14:paraId="0B9EBBA1" w14:textId="77777777" w:rsidR="00F50576" w:rsidRPr="00F50576" w:rsidRDefault="00F50576" w:rsidP="00F50576">
      <w:pPr>
        <w:spacing w:after="0"/>
        <w:jc w:val="both"/>
        <w:rPr>
          <w:bCs/>
          <w:position w:val="3"/>
        </w:rPr>
      </w:pPr>
    </w:p>
    <w:p w14:paraId="6390D791" w14:textId="55220EEF" w:rsidR="00F50576" w:rsidRPr="00F50576" w:rsidRDefault="0022141F" w:rsidP="00572458">
      <w:pPr>
        <w:spacing w:after="0"/>
        <w:jc w:val="both"/>
      </w:pPr>
      <w:r>
        <w:t xml:space="preserve">Child Safety Officers </w:t>
      </w:r>
      <w:r w:rsidR="00F50576" w:rsidRPr="00F50576">
        <w:t>will:</w:t>
      </w:r>
    </w:p>
    <w:p w14:paraId="46AACBD6" w14:textId="07E969CA" w:rsidR="00F50576" w:rsidRPr="00F50576" w:rsidRDefault="00572458" w:rsidP="00F50576">
      <w:pPr>
        <w:numPr>
          <w:ilvl w:val="0"/>
          <w:numId w:val="4"/>
        </w:numPr>
        <w:contextualSpacing/>
        <w:jc w:val="both"/>
      </w:pPr>
      <w:r>
        <w:t>C</w:t>
      </w:r>
      <w:r w:rsidR="00F50576" w:rsidRPr="00F50576">
        <w:t xml:space="preserve">onsider the use of CRC as part of the case planning processes. </w:t>
      </w:r>
    </w:p>
    <w:p w14:paraId="215ABBBE" w14:textId="77777777" w:rsidR="00F50576" w:rsidRPr="00F50576" w:rsidRDefault="00F50576" w:rsidP="00F50576">
      <w:pPr>
        <w:numPr>
          <w:ilvl w:val="0"/>
          <w:numId w:val="4"/>
        </w:numPr>
        <w:contextualSpacing/>
        <w:jc w:val="both"/>
      </w:pPr>
      <w:r w:rsidRPr="00F50576">
        <w:t xml:space="preserve">Make sure carers are aware of how to request CRC for unplanned expenses as they arise. </w:t>
      </w:r>
    </w:p>
    <w:p w14:paraId="30E12A30" w14:textId="77777777" w:rsidR="00F50576" w:rsidRPr="00F50576" w:rsidRDefault="00F50576" w:rsidP="00037DA7">
      <w:pPr>
        <w:numPr>
          <w:ilvl w:val="0"/>
          <w:numId w:val="4"/>
        </w:numPr>
        <w:contextualSpacing/>
        <w:jc w:val="both"/>
      </w:pPr>
      <w:r w:rsidRPr="00F50576">
        <w:t xml:space="preserve">Make sure CRC support is consistent with the case plan and/or supportive of the care arrangement. </w:t>
      </w:r>
    </w:p>
    <w:p w14:paraId="10F7B0FC" w14:textId="77777777" w:rsidR="00037DA7" w:rsidRDefault="00037DA7" w:rsidP="00037DA7">
      <w:pPr>
        <w:contextualSpacing/>
        <w:jc w:val="both"/>
      </w:pPr>
    </w:p>
    <w:p w14:paraId="491C35D3" w14:textId="218F2B04" w:rsidR="00F50576" w:rsidRPr="00F50576" w:rsidRDefault="00D10E6A" w:rsidP="00AF5E5F">
      <w:pPr>
        <w:spacing w:after="0"/>
      </w:pPr>
      <w:r>
        <w:t>Business</w:t>
      </w:r>
      <w:r w:rsidR="00F50576" w:rsidRPr="00F50576">
        <w:t xml:space="preserve"> Officers will:</w:t>
      </w:r>
    </w:p>
    <w:p w14:paraId="5A49B6F1" w14:textId="686A7B50" w:rsidR="00F50576" w:rsidRPr="00F50576" w:rsidRDefault="00F50576" w:rsidP="00F50576">
      <w:pPr>
        <w:numPr>
          <w:ilvl w:val="0"/>
          <w:numId w:val="5"/>
        </w:numPr>
        <w:contextualSpacing/>
        <w:jc w:val="both"/>
      </w:pPr>
      <w:r w:rsidRPr="00F50576">
        <w:t xml:space="preserve">Ensure the correct CRC </w:t>
      </w:r>
      <w:r w:rsidR="00037DA7">
        <w:t xml:space="preserve">G/L </w:t>
      </w:r>
      <w:r w:rsidRPr="00F50576">
        <w:t xml:space="preserve">Account Code is </w:t>
      </w:r>
      <w:proofErr w:type="gramStart"/>
      <w:r w:rsidRPr="00F50576">
        <w:t>used</w:t>
      </w:r>
      <w:proofErr w:type="gramEnd"/>
    </w:p>
    <w:p w14:paraId="58FC2CD7" w14:textId="77777777" w:rsidR="00F50576" w:rsidRDefault="00F50576" w:rsidP="00F50576">
      <w:pPr>
        <w:numPr>
          <w:ilvl w:val="0"/>
          <w:numId w:val="5"/>
        </w:numPr>
        <w:contextualSpacing/>
        <w:jc w:val="both"/>
      </w:pPr>
      <w:r w:rsidRPr="00F50576">
        <w:t>Ensure all transactions are substantiated, and necessary substantiating documentation (for example, invoices and receipts) is filed to ensure an audit trail.</w:t>
      </w:r>
    </w:p>
    <w:p w14:paraId="0BE453D6" w14:textId="77777777" w:rsidR="00F50576" w:rsidRPr="00F50576" w:rsidRDefault="00F50576" w:rsidP="00F50576">
      <w:pPr>
        <w:ind w:left="720"/>
        <w:contextualSpacing/>
        <w:jc w:val="both"/>
      </w:pPr>
    </w:p>
    <w:p w14:paraId="5D512685" w14:textId="377E1E85" w:rsidR="00F50576" w:rsidRPr="00F50576" w:rsidRDefault="007611B5" w:rsidP="00F50576">
      <w:pPr>
        <w:spacing w:after="0"/>
        <w:jc w:val="both"/>
        <w:rPr>
          <w:position w:val="3"/>
        </w:rPr>
      </w:pPr>
      <w:r>
        <w:rPr>
          <w:bCs/>
          <w:position w:val="3"/>
        </w:rPr>
        <w:lastRenderedPageBreak/>
        <w:t xml:space="preserve">Should </w:t>
      </w:r>
      <w:r w:rsidR="00F50576" w:rsidRPr="00F50576">
        <w:rPr>
          <w:bCs/>
          <w:position w:val="3"/>
        </w:rPr>
        <w:t xml:space="preserve">the request not </w:t>
      </w:r>
      <w:r>
        <w:rPr>
          <w:bCs/>
          <w:position w:val="3"/>
        </w:rPr>
        <w:t xml:space="preserve">be </w:t>
      </w:r>
      <w:r w:rsidR="00F50576" w:rsidRPr="00F50576">
        <w:rPr>
          <w:bCs/>
          <w:position w:val="3"/>
        </w:rPr>
        <w:t>supported</w:t>
      </w:r>
      <w:r>
        <w:rPr>
          <w:bCs/>
          <w:position w:val="3"/>
        </w:rPr>
        <w:t>,</w:t>
      </w:r>
      <w:r w:rsidR="00F50576" w:rsidRPr="00F50576">
        <w:rPr>
          <w:bCs/>
          <w:position w:val="3"/>
        </w:rPr>
        <w:t xml:space="preserve"> the </w:t>
      </w:r>
      <w:r w:rsidR="00037DA7">
        <w:rPr>
          <w:bCs/>
          <w:position w:val="3"/>
        </w:rPr>
        <w:t>CSO</w:t>
      </w:r>
      <w:r w:rsidR="00F50576" w:rsidRPr="00F50576">
        <w:rPr>
          <w:bCs/>
          <w:position w:val="3"/>
        </w:rPr>
        <w:t xml:space="preserve"> will </w:t>
      </w:r>
      <w:r>
        <w:rPr>
          <w:bCs/>
          <w:position w:val="3"/>
        </w:rPr>
        <w:t xml:space="preserve">inform the person making the request </w:t>
      </w:r>
      <w:r w:rsidR="00F50576" w:rsidRPr="00F50576">
        <w:rPr>
          <w:bCs/>
          <w:position w:val="3"/>
        </w:rPr>
        <w:t xml:space="preserve">of the outcome </w:t>
      </w:r>
      <w:r w:rsidR="0032052F">
        <w:rPr>
          <w:bCs/>
          <w:position w:val="3"/>
        </w:rPr>
        <w:t xml:space="preserve">including an </w:t>
      </w:r>
      <w:r w:rsidR="00F50576" w:rsidRPr="00F50576">
        <w:rPr>
          <w:bCs/>
          <w:position w:val="3"/>
        </w:rPr>
        <w:t>explan</w:t>
      </w:r>
      <w:r>
        <w:rPr>
          <w:bCs/>
          <w:position w:val="3"/>
        </w:rPr>
        <w:t>ation for the decision.</w:t>
      </w:r>
      <w:r w:rsidR="00F50576" w:rsidRPr="00F50576">
        <w:rPr>
          <w:bCs/>
          <w:position w:val="3"/>
        </w:rPr>
        <w:t xml:space="preserve"> </w:t>
      </w:r>
    </w:p>
    <w:p w14:paraId="14107256" w14:textId="77777777" w:rsidR="00FD2B19" w:rsidRDefault="00FD2B19" w:rsidP="00AC597F">
      <w:pPr>
        <w:pStyle w:val="Heading2"/>
      </w:pPr>
      <w:r>
        <w:t>Private Health Cover and Carer A</w:t>
      </w:r>
      <w:r w:rsidRPr="004760B9">
        <w:t>llowances</w:t>
      </w:r>
    </w:p>
    <w:p w14:paraId="3654DBC7" w14:textId="77777777" w:rsidR="00FD2B19" w:rsidRDefault="00FD2B19" w:rsidP="00FD2B19">
      <w:pPr>
        <w:pStyle w:val="BodyText"/>
        <w:spacing w:after="0"/>
        <w:jc w:val="both"/>
        <w:rPr>
          <w:b w:val="0"/>
          <w:szCs w:val="22"/>
        </w:rPr>
      </w:pPr>
      <w:r w:rsidRPr="00845E95">
        <w:rPr>
          <w:b w:val="0"/>
          <w:szCs w:val="22"/>
        </w:rPr>
        <w:t>Carers may obtain private health insurance for a child or young person in their care (or add a child or young person to their existing policy) at their own expense. In circumstances where health services (</w:t>
      </w:r>
      <w:proofErr w:type="gramStart"/>
      <w:r w:rsidRPr="00845E95">
        <w:rPr>
          <w:b w:val="0"/>
          <w:szCs w:val="22"/>
        </w:rPr>
        <w:t>i.e.</w:t>
      </w:r>
      <w:proofErr w:type="gramEnd"/>
      <w:r w:rsidRPr="00845E95">
        <w:rPr>
          <w:b w:val="0"/>
          <w:szCs w:val="22"/>
        </w:rPr>
        <w:t xml:space="preserve"> medical, dental, orthodontic or mental health service) are required for a child or young person, which is unavailable or cannot be provided in a timely manner through the public health system, the carer can use the health services under their private health insurance and Child Safety will pay the gap fee for the required treatment. Approval from the identified financial delegate will need to be obtained prior to any treatment being received by the child or young person.</w:t>
      </w:r>
      <w:r>
        <w:rPr>
          <w:b w:val="0"/>
          <w:szCs w:val="22"/>
        </w:rPr>
        <w:t xml:space="preserve"> </w:t>
      </w:r>
    </w:p>
    <w:p w14:paraId="708040E6" w14:textId="77777777" w:rsidR="00FD2B19" w:rsidRDefault="00FD2B19" w:rsidP="00FD2B19">
      <w:pPr>
        <w:pStyle w:val="BodyText"/>
        <w:spacing w:after="0"/>
        <w:jc w:val="both"/>
        <w:rPr>
          <w:b w:val="0"/>
          <w:szCs w:val="22"/>
        </w:rPr>
      </w:pPr>
    </w:p>
    <w:p w14:paraId="0346AF12" w14:textId="184BA966" w:rsidR="00FD2B19" w:rsidRDefault="00FD2B19" w:rsidP="00FD2B19">
      <w:pPr>
        <w:pStyle w:val="BodyText"/>
        <w:spacing w:after="0"/>
        <w:jc w:val="both"/>
        <w:rPr>
          <w:b w:val="0"/>
          <w:szCs w:val="22"/>
        </w:rPr>
      </w:pPr>
      <w:r>
        <w:rPr>
          <w:b w:val="0"/>
          <w:szCs w:val="22"/>
        </w:rPr>
        <w:t xml:space="preserve">Where a child or young person has identified health and wellbeing needs that require ongoing treatment, </w:t>
      </w:r>
      <w:r w:rsidRPr="00701DF7">
        <w:rPr>
          <w:b w:val="0"/>
          <w:szCs w:val="22"/>
        </w:rPr>
        <w:t xml:space="preserve">consider utilising the </w:t>
      </w:r>
      <w:r w:rsidR="00182D7A">
        <w:rPr>
          <w:b w:val="0"/>
          <w:szCs w:val="22"/>
        </w:rPr>
        <w:t>H</w:t>
      </w:r>
      <w:r w:rsidRPr="00EC6A4D">
        <w:rPr>
          <w:b w:val="0"/>
          <w:szCs w:val="22"/>
        </w:rPr>
        <w:t xml:space="preserve">igh </w:t>
      </w:r>
      <w:r w:rsidR="00182D7A">
        <w:rPr>
          <w:b w:val="0"/>
          <w:szCs w:val="22"/>
        </w:rPr>
        <w:t>S</w:t>
      </w:r>
      <w:r w:rsidRPr="00EC6A4D">
        <w:rPr>
          <w:b w:val="0"/>
          <w:szCs w:val="22"/>
        </w:rPr>
        <w:t xml:space="preserve">upport </w:t>
      </w:r>
      <w:r w:rsidR="00182D7A">
        <w:rPr>
          <w:b w:val="0"/>
          <w:szCs w:val="22"/>
        </w:rPr>
        <w:t>N</w:t>
      </w:r>
      <w:r w:rsidRPr="00EC6A4D">
        <w:rPr>
          <w:b w:val="0"/>
          <w:szCs w:val="22"/>
        </w:rPr>
        <w:t xml:space="preserve">eeds </w:t>
      </w:r>
      <w:r w:rsidR="00182D7A">
        <w:rPr>
          <w:b w:val="0"/>
          <w:szCs w:val="22"/>
        </w:rPr>
        <w:t>A</w:t>
      </w:r>
      <w:r w:rsidRPr="00EC6A4D">
        <w:rPr>
          <w:b w:val="0"/>
          <w:szCs w:val="22"/>
        </w:rPr>
        <w:t xml:space="preserve">llowance </w:t>
      </w:r>
      <w:r>
        <w:rPr>
          <w:b w:val="0"/>
          <w:szCs w:val="22"/>
        </w:rPr>
        <w:t xml:space="preserve">(HSNA) </w:t>
      </w:r>
      <w:r w:rsidRPr="00EC6A4D">
        <w:rPr>
          <w:b w:val="0"/>
          <w:szCs w:val="22"/>
        </w:rPr>
        <w:t xml:space="preserve">or </w:t>
      </w:r>
      <w:r w:rsidR="00182D7A">
        <w:rPr>
          <w:b w:val="0"/>
          <w:szCs w:val="22"/>
        </w:rPr>
        <w:t>C</w:t>
      </w:r>
      <w:r w:rsidRPr="00EC6A4D">
        <w:rPr>
          <w:b w:val="0"/>
          <w:szCs w:val="22"/>
        </w:rPr>
        <w:t xml:space="preserve">omplex </w:t>
      </w:r>
      <w:r w:rsidR="00182D7A">
        <w:rPr>
          <w:b w:val="0"/>
          <w:szCs w:val="22"/>
        </w:rPr>
        <w:t>S</w:t>
      </w:r>
      <w:r w:rsidRPr="00EC6A4D">
        <w:rPr>
          <w:b w:val="0"/>
          <w:szCs w:val="22"/>
        </w:rPr>
        <w:t xml:space="preserve">upport </w:t>
      </w:r>
      <w:r w:rsidR="00182D7A">
        <w:rPr>
          <w:b w:val="0"/>
          <w:szCs w:val="22"/>
        </w:rPr>
        <w:t>N</w:t>
      </w:r>
      <w:r w:rsidRPr="00EC6A4D">
        <w:rPr>
          <w:b w:val="0"/>
          <w:szCs w:val="22"/>
        </w:rPr>
        <w:t xml:space="preserve">eeds </w:t>
      </w:r>
      <w:r w:rsidR="00182D7A">
        <w:rPr>
          <w:b w:val="0"/>
          <w:szCs w:val="22"/>
        </w:rPr>
        <w:t>A</w:t>
      </w:r>
      <w:r w:rsidRPr="00EC6A4D">
        <w:rPr>
          <w:b w:val="0"/>
          <w:szCs w:val="22"/>
        </w:rPr>
        <w:t>llowance</w:t>
      </w:r>
      <w:r>
        <w:rPr>
          <w:b w:val="0"/>
          <w:szCs w:val="22"/>
        </w:rPr>
        <w:t xml:space="preserve"> (CSNA) </w:t>
      </w:r>
      <w:r w:rsidRPr="00701DF7">
        <w:rPr>
          <w:b w:val="0"/>
          <w:szCs w:val="22"/>
        </w:rPr>
        <w:t>to support the carer to meet the costs quickly and efficiently</w:t>
      </w:r>
      <w:r>
        <w:rPr>
          <w:b w:val="0"/>
          <w:szCs w:val="22"/>
        </w:rPr>
        <w:t xml:space="preserve">. </w:t>
      </w:r>
    </w:p>
    <w:p w14:paraId="49B6EE3A" w14:textId="77777777" w:rsidR="00FD2B19" w:rsidRDefault="00FD2B19" w:rsidP="00FD2B19">
      <w:pPr>
        <w:pStyle w:val="BodyText"/>
        <w:spacing w:after="0"/>
        <w:jc w:val="both"/>
        <w:rPr>
          <w:b w:val="0"/>
          <w:szCs w:val="22"/>
        </w:rPr>
      </w:pPr>
    </w:p>
    <w:p w14:paraId="09DDF2C1" w14:textId="3B60F3E3" w:rsidR="00FD2B19" w:rsidRDefault="00FD2B19" w:rsidP="00FD2B19">
      <w:pPr>
        <w:pStyle w:val="BodyText"/>
        <w:spacing w:after="0"/>
        <w:jc w:val="both"/>
        <w:rPr>
          <w:b w:val="0"/>
          <w:szCs w:val="22"/>
        </w:rPr>
      </w:pPr>
      <w:r>
        <w:rPr>
          <w:b w:val="0"/>
          <w:szCs w:val="22"/>
        </w:rPr>
        <w:t xml:space="preserve">Where a carer is already receiving </w:t>
      </w:r>
      <w:r w:rsidRPr="00701DF7">
        <w:rPr>
          <w:b w:val="0"/>
          <w:szCs w:val="22"/>
        </w:rPr>
        <w:t xml:space="preserve">HSNA or CSNA </w:t>
      </w:r>
      <w:r>
        <w:rPr>
          <w:b w:val="0"/>
          <w:szCs w:val="22"/>
        </w:rPr>
        <w:t xml:space="preserve">to meet the </w:t>
      </w:r>
      <w:r w:rsidRPr="00EC6A4D">
        <w:rPr>
          <w:b w:val="0"/>
          <w:szCs w:val="22"/>
        </w:rPr>
        <w:t xml:space="preserve">health and </w:t>
      </w:r>
      <w:r w:rsidRPr="00701DF7">
        <w:rPr>
          <w:b w:val="0"/>
          <w:szCs w:val="22"/>
        </w:rPr>
        <w:t>wellbeing needs</w:t>
      </w:r>
      <w:r>
        <w:rPr>
          <w:b w:val="0"/>
          <w:szCs w:val="22"/>
        </w:rPr>
        <w:t>, the CRC</w:t>
      </w:r>
      <w:r w:rsidRPr="00057801">
        <w:rPr>
          <w:b w:val="0"/>
          <w:szCs w:val="22"/>
        </w:rPr>
        <w:t xml:space="preserve"> </w:t>
      </w:r>
      <w:r>
        <w:rPr>
          <w:b w:val="0"/>
          <w:szCs w:val="22"/>
        </w:rPr>
        <w:t>Health and W</w:t>
      </w:r>
      <w:r w:rsidRPr="00057801">
        <w:rPr>
          <w:b w:val="0"/>
          <w:szCs w:val="22"/>
        </w:rPr>
        <w:t>ellbeing</w:t>
      </w:r>
      <w:r>
        <w:rPr>
          <w:b w:val="0"/>
          <w:szCs w:val="22"/>
        </w:rPr>
        <w:t xml:space="preserve"> reimbursement </w:t>
      </w:r>
      <w:r w:rsidRPr="00EC6A4D">
        <w:rPr>
          <w:b w:val="0"/>
          <w:szCs w:val="22"/>
        </w:rPr>
        <w:t>will not be provided</w:t>
      </w:r>
      <w:r>
        <w:rPr>
          <w:b w:val="0"/>
          <w:szCs w:val="22"/>
        </w:rPr>
        <w:t xml:space="preserve">. </w:t>
      </w:r>
      <w:r w:rsidRPr="00EC6A4D">
        <w:rPr>
          <w:b w:val="0"/>
          <w:szCs w:val="22"/>
        </w:rPr>
        <w:t xml:space="preserve"> </w:t>
      </w:r>
      <w:r>
        <w:rPr>
          <w:b w:val="0"/>
          <w:szCs w:val="22"/>
        </w:rPr>
        <w:t xml:space="preserve">However, where the HSNA or CSNA is provided to meet other needs </w:t>
      </w:r>
      <w:r w:rsidRPr="00FD2B19">
        <w:rPr>
          <w:b w:val="0"/>
          <w:i/>
          <w:szCs w:val="22"/>
        </w:rPr>
        <w:t>not</w:t>
      </w:r>
      <w:r>
        <w:rPr>
          <w:b w:val="0"/>
          <w:szCs w:val="22"/>
        </w:rPr>
        <w:t xml:space="preserve"> associated with the child’s direct health</w:t>
      </w:r>
      <w:r w:rsidRPr="00057801">
        <w:rPr>
          <w:b w:val="0"/>
          <w:szCs w:val="22"/>
        </w:rPr>
        <w:t xml:space="preserve"> and wellbeing</w:t>
      </w:r>
      <w:r>
        <w:rPr>
          <w:b w:val="0"/>
          <w:szCs w:val="22"/>
        </w:rPr>
        <w:t xml:space="preserve"> then Child Safety will meet the costs incurred under categories for CRC Health and W</w:t>
      </w:r>
      <w:r w:rsidRPr="00057801">
        <w:rPr>
          <w:b w:val="0"/>
          <w:szCs w:val="22"/>
        </w:rPr>
        <w:t>ellbeing</w:t>
      </w:r>
      <w:r>
        <w:rPr>
          <w:b w:val="0"/>
          <w:szCs w:val="22"/>
        </w:rPr>
        <w:t xml:space="preserve"> outlined below.</w:t>
      </w:r>
    </w:p>
    <w:p w14:paraId="35A695B6" w14:textId="5135A719" w:rsidR="00E37457" w:rsidRDefault="00E37457" w:rsidP="00037DA7">
      <w:pPr>
        <w:pStyle w:val="Heading2"/>
        <w:contextualSpacing/>
      </w:pPr>
      <w:r w:rsidRPr="00BD5BAF">
        <w:t xml:space="preserve">Categories for </w:t>
      </w:r>
      <w:r w:rsidR="00F6058F">
        <w:t>CRC</w:t>
      </w:r>
      <w:r>
        <w:t xml:space="preserve"> </w:t>
      </w:r>
      <w:r w:rsidRPr="00BD5BAF">
        <w:t>Health and Wellbeing</w:t>
      </w:r>
    </w:p>
    <w:p w14:paraId="2E453472" w14:textId="069081A0" w:rsidR="001C0A47" w:rsidRPr="00D73C41" w:rsidRDefault="00F6058F" w:rsidP="00037DA7">
      <w:pPr>
        <w:contextualSpacing/>
        <w:jc w:val="both"/>
      </w:pPr>
      <w:r w:rsidRPr="00DD28C5">
        <w:t xml:space="preserve">For funding requests for </w:t>
      </w:r>
      <w:r w:rsidR="001C0A47" w:rsidRPr="00DD28C5">
        <w:t xml:space="preserve">health and wellbeing </w:t>
      </w:r>
      <w:r w:rsidRPr="00DD28C5">
        <w:t xml:space="preserve">services </w:t>
      </w:r>
      <w:r w:rsidR="001C0A47" w:rsidRPr="00DD28C5">
        <w:t>for a child or young person with a diagnosed disability</w:t>
      </w:r>
      <w:r w:rsidRPr="00DD28C5">
        <w:t>,</w:t>
      </w:r>
      <w:r w:rsidR="001C0A47" w:rsidRPr="00DD28C5">
        <w:t xml:space="preserve"> please ensure all </w:t>
      </w:r>
      <w:r w:rsidRPr="00DD28C5">
        <w:t xml:space="preserve">necessary </w:t>
      </w:r>
      <w:r w:rsidR="001C0A47" w:rsidRPr="00DD28C5">
        <w:t xml:space="preserve">services are included in their </w:t>
      </w:r>
      <w:r w:rsidR="001C0A47" w:rsidRPr="00D73C41">
        <w:t>current N</w:t>
      </w:r>
      <w:r w:rsidR="008A7BE9" w:rsidRPr="00D73C41">
        <w:t xml:space="preserve">ational </w:t>
      </w:r>
      <w:r w:rsidR="001C0A47" w:rsidRPr="00D73C41">
        <w:t>D</w:t>
      </w:r>
      <w:r w:rsidR="008A7BE9" w:rsidRPr="00D73C41">
        <w:t xml:space="preserve">isability </w:t>
      </w:r>
      <w:r w:rsidR="001C0A47" w:rsidRPr="00D73C41">
        <w:t>I</w:t>
      </w:r>
      <w:r w:rsidR="008A7BE9" w:rsidRPr="00D73C41">
        <w:t xml:space="preserve">nsurance </w:t>
      </w:r>
      <w:r w:rsidR="00C51887" w:rsidRPr="00D73C41">
        <w:t xml:space="preserve">Scheme </w:t>
      </w:r>
      <w:r w:rsidR="00E044CB" w:rsidRPr="00D73C41">
        <w:t xml:space="preserve">(NDIS) </w:t>
      </w:r>
      <w:r w:rsidR="001C0A47" w:rsidRPr="00D73C41">
        <w:t>plan.</w:t>
      </w:r>
    </w:p>
    <w:p w14:paraId="6A505B02" w14:textId="664C65F4" w:rsidR="00E37457" w:rsidRPr="00D73C41" w:rsidRDefault="00E37457" w:rsidP="00CC3103">
      <w:pPr>
        <w:pStyle w:val="Heading3"/>
        <w:contextualSpacing/>
        <w:jc w:val="both"/>
      </w:pPr>
      <w:r w:rsidRPr="00D73C41">
        <w:t>General health services (</w:t>
      </w:r>
      <w:r w:rsidR="00037DA7" w:rsidRPr="00D73C41">
        <w:t>G/L Account Code:</w:t>
      </w:r>
      <w:r w:rsidRPr="00D73C41">
        <w:t xml:space="preserve"> 530415)</w:t>
      </w:r>
    </w:p>
    <w:p w14:paraId="27C04B26" w14:textId="7CBB251C" w:rsidR="00E37457" w:rsidRPr="00D73C41" w:rsidRDefault="00E37457" w:rsidP="00CC3103">
      <w:pPr>
        <w:contextualSpacing/>
        <w:jc w:val="both"/>
      </w:pPr>
      <w:r w:rsidRPr="00D73C41">
        <w:t xml:space="preserve">The </w:t>
      </w:r>
      <w:r w:rsidR="008A7BE9" w:rsidRPr="00D73C41">
        <w:t>F</w:t>
      </w:r>
      <w:r w:rsidRPr="00D73C41">
        <w:t xml:space="preserve">ortnightly </w:t>
      </w:r>
      <w:r w:rsidR="008A7BE9" w:rsidRPr="00D73C41">
        <w:t>C</w:t>
      </w:r>
      <w:r w:rsidRPr="00D73C41">
        <w:t xml:space="preserve">aring </w:t>
      </w:r>
      <w:r w:rsidR="008A7BE9" w:rsidRPr="00D73C41">
        <w:t>A</w:t>
      </w:r>
      <w:r w:rsidRPr="00D73C41">
        <w:t>llowance covers all general medical expenses such as:</w:t>
      </w:r>
    </w:p>
    <w:p w14:paraId="170FA81B" w14:textId="17EF688C" w:rsidR="00E37457" w:rsidRPr="00D73C41" w:rsidRDefault="00E37457" w:rsidP="00CC3103">
      <w:pPr>
        <w:pStyle w:val="ListParagraph"/>
        <w:numPr>
          <w:ilvl w:val="0"/>
          <w:numId w:val="4"/>
        </w:numPr>
        <w:jc w:val="both"/>
      </w:pPr>
      <w:r w:rsidRPr="00D73C41">
        <w:t xml:space="preserve">Costs incurred for consulting a GP including the Medicare </w:t>
      </w:r>
      <w:proofErr w:type="gramStart"/>
      <w:r w:rsidRPr="00D73C41">
        <w:t>gap</w:t>
      </w:r>
      <w:proofErr w:type="gramEnd"/>
    </w:p>
    <w:p w14:paraId="6F24C9D4" w14:textId="7B329253" w:rsidR="00E37457" w:rsidRPr="00D73C41" w:rsidRDefault="00E37457" w:rsidP="00CC3103">
      <w:pPr>
        <w:pStyle w:val="ListParagraph"/>
        <w:numPr>
          <w:ilvl w:val="0"/>
          <w:numId w:val="4"/>
        </w:numPr>
        <w:jc w:val="both"/>
      </w:pPr>
      <w:r w:rsidRPr="00D73C41">
        <w:t>All one-off prescribed and non-prescribed pharmaceuticals</w:t>
      </w:r>
    </w:p>
    <w:p w14:paraId="715FAB58" w14:textId="4BF5DA8A" w:rsidR="00E37457" w:rsidRPr="00D73C41" w:rsidRDefault="00E37457" w:rsidP="00CC3103">
      <w:pPr>
        <w:jc w:val="both"/>
      </w:pPr>
      <w:r w:rsidRPr="00D73C41">
        <w:t xml:space="preserve">Costs </w:t>
      </w:r>
      <w:r w:rsidR="008A7BE9" w:rsidRPr="00D73C41">
        <w:t>included in</w:t>
      </w:r>
      <w:r w:rsidRPr="00D73C41">
        <w:t xml:space="preserve"> this </w:t>
      </w:r>
      <w:r w:rsidR="00037DA7" w:rsidRPr="00D73C41">
        <w:t>category</w:t>
      </w:r>
      <w:r w:rsidRPr="00D73C41">
        <w:t xml:space="preserve"> </w:t>
      </w:r>
      <w:r w:rsidR="008A7BE9" w:rsidRPr="00D73C41">
        <w:t>related to</w:t>
      </w:r>
      <w:r w:rsidRPr="00D73C41">
        <w:t xml:space="preserve"> any ongoing medical treatment, diagnostic tests and pharmaceuticals not covered by the PBS.</w:t>
      </w:r>
    </w:p>
    <w:p w14:paraId="27AFFB3E" w14:textId="3CBA9340" w:rsidR="00DF7EC9" w:rsidRPr="00D73C41" w:rsidRDefault="00B517C1" w:rsidP="00CC3103">
      <w:pPr>
        <w:jc w:val="both"/>
      </w:pPr>
      <w:r w:rsidRPr="00D73C41">
        <w:t>Expenditure under this category can include</w:t>
      </w:r>
      <w:r w:rsidR="00E37457" w:rsidRPr="00D73C41">
        <w:t>:</w:t>
      </w:r>
    </w:p>
    <w:p w14:paraId="2531444C" w14:textId="77777777" w:rsidR="00090B2C" w:rsidRPr="00D73C41" w:rsidRDefault="00DF7EC9" w:rsidP="00090B2C">
      <w:pPr>
        <w:pStyle w:val="ListParagraph"/>
        <w:numPr>
          <w:ilvl w:val="0"/>
          <w:numId w:val="13"/>
        </w:numPr>
      </w:pPr>
      <w:r w:rsidRPr="00D73C41">
        <w:t xml:space="preserve">Child Health Passports - </w:t>
      </w:r>
      <w:r w:rsidRPr="00D73C41">
        <w:rPr>
          <w:szCs w:val="22"/>
        </w:rPr>
        <w:t>all costs associated with</w:t>
      </w:r>
      <w:r w:rsidR="00090B2C" w:rsidRPr="00D73C41">
        <w:rPr>
          <w:szCs w:val="22"/>
        </w:rPr>
        <w:t xml:space="preserve"> the following:</w:t>
      </w:r>
    </w:p>
    <w:p w14:paraId="50A0D2E6" w14:textId="3CB41C3F" w:rsidR="00090B2C" w:rsidRPr="00D73C41" w:rsidRDefault="00090B2C" w:rsidP="0053541A">
      <w:pPr>
        <w:pStyle w:val="ListParagraph"/>
        <w:numPr>
          <w:ilvl w:val="1"/>
          <w:numId w:val="13"/>
        </w:numPr>
        <w:ind w:left="1276"/>
      </w:pPr>
      <w:r w:rsidRPr="00D73C41">
        <w:t xml:space="preserve">comprehensive health assessment completed </w:t>
      </w:r>
      <w:r w:rsidR="00E83BF3" w:rsidRPr="00D73C41">
        <w:t xml:space="preserve">for a </w:t>
      </w:r>
      <w:r w:rsidRPr="00D73C41">
        <w:t xml:space="preserve">child or young person entering </w:t>
      </w:r>
      <w:proofErr w:type="gramStart"/>
      <w:r w:rsidRPr="00D73C41">
        <w:t>care</w:t>
      </w:r>
      <w:proofErr w:type="gramEnd"/>
    </w:p>
    <w:p w14:paraId="44C7A2BD" w14:textId="64AC6E42" w:rsidR="00090B2C" w:rsidRPr="00D73C41" w:rsidRDefault="00090B2C" w:rsidP="0053541A">
      <w:pPr>
        <w:pStyle w:val="ListParagraph"/>
        <w:numPr>
          <w:ilvl w:val="1"/>
          <w:numId w:val="13"/>
        </w:numPr>
        <w:ind w:left="1276"/>
      </w:pPr>
      <w:r w:rsidRPr="00D73C41">
        <w:t xml:space="preserve">the development of a health management plan to be integrated with other plans, for example, a child’s case plan or education support </w:t>
      </w:r>
      <w:proofErr w:type="gramStart"/>
      <w:r w:rsidRPr="00D73C41">
        <w:t>plan</w:t>
      </w:r>
      <w:proofErr w:type="gramEnd"/>
    </w:p>
    <w:p w14:paraId="39BAF6B1" w14:textId="77777777" w:rsidR="00090B2C" w:rsidRPr="00D73C41" w:rsidRDefault="00090B2C" w:rsidP="0053541A">
      <w:pPr>
        <w:pStyle w:val="ListParagraph"/>
        <w:numPr>
          <w:ilvl w:val="1"/>
          <w:numId w:val="13"/>
        </w:numPr>
        <w:ind w:left="1276"/>
      </w:pPr>
      <w:r w:rsidRPr="00D73C41">
        <w:t>ongoing monitoring and assessment, including annual reviews (or more frequent reviews for a child aged less than five years).</w:t>
      </w:r>
    </w:p>
    <w:p w14:paraId="166AFAF8" w14:textId="467AC00D" w:rsidR="00BF3451" w:rsidRPr="00D73C41" w:rsidRDefault="00E37457" w:rsidP="00BF3451">
      <w:pPr>
        <w:pStyle w:val="ListParagraph"/>
        <w:numPr>
          <w:ilvl w:val="0"/>
          <w:numId w:val="4"/>
        </w:numPr>
        <w:jc w:val="both"/>
      </w:pPr>
      <w:r w:rsidRPr="00D73C41">
        <w:t>where a young person is living independently and require</w:t>
      </w:r>
      <w:r w:rsidR="00AF5E5F" w:rsidRPr="00D73C41">
        <w:t>s</w:t>
      </w:r>
      <w:r w:rsidRPr="00D73C41">
        <w:t xml:space="preserve"> general (non-specialist) medical assessment and treatment.</w:t>
      </w:r>
    </w:p>
    <w:p w14:paraId="72FAF659" w14:textId="7324EDDF" w:rsidR="00BF3451" w:rsidRPr="00DD28C5" w:rsidRDefault="00E37457" w:rsidP="00BF3451">
      <w:pPr>
        <w:pStyle w:val="ListParagraph"/>
        <w:numPr>
          <w:ilvl w:val="0"/>
          <w:numId w:val="4"/>
        </w:numPr>
        <w:jc w:val="both"/>
      </w:pPr>
      <w:r w:rsidRPr="00DD28C5">
        <w:t>diagnostic tests, as referred by a general practitioner or specialist, as part of ongoing medical treatment, including X-rays, scans, pathology tests, hearing and eye tests</w:t>
      </w:r>
    </w:p>
    <w:p w14:paraId="51DA2B6A" w14:textId="77777777" w:rsidR="00BF3451" w:rsidRPr="00DD28C5" w:rsidRDefault="00E37457" w:rsidP="005465C3">
      <w:pPr>
        <w:pStyle w:val="ListParagraph"/>
        <w:numPr>
          <w:ilvl w:val="0"/>
          <w:numId w:val="4"/>
        </w:numPr>
        <w:jc w:val="both"/>
      </w:pPr>
      <w:r w:rsidRPr="00DD28C5">
        <w:t>interstate ambulance costs</w:t>
      </w:r>
      <w:r w:rsidR="00BF3451" w:rsidRPr="00DD28C5">
        <w:t xml:space="preserve"> </w:t>
      </w:r>
    </w:p>
    <w:p w14:paraId="4A2897E5" w14:textId="77777777" w:rsidR="0053541A" w:rsidRPr="00DD28C5" w:rsidRDefault="0053541A" w:rsidP="00A33BEE">
      <w:pPr>
        <w:pStyle w:val="ListParagraph"/>
        <w:jc w:val="both"/>
      </w:pPr>
    </w:p>
    <w:p w14:paraId="47149A1C" w14:textId="2F00BB92" w:rsidR="00E37457" w:rsidRPr="00DD28C5" w:rsidRDefault="00E37457" w:rsidP="005465C3">
      <w:pPr>
        <w:pStyle w:val="ListParagraph"/>
        <w:numPr>
          <w:ilvl w:val="0"/>
          <w:numId w:val="4"/>
        </w:numPr>
        <w:jc w:val="both"/>
      </w:pPr>
      <w:r w:rsidRPr="00DD28C5">
        <w:lastRenderedPageBreak/>
        <w:t>extraordinary or on-going pharmaceutical expenses that are not covered under the Health Care Card such as:</w:t>
      </w:r>
    </w:p>
    <w:p w14:paraId="4CC8A513" w14:textId="707A0109" w:rsidR="00BF3451" w:rsidRPr="00DD28C5" w:rsidRDefault="00E37457" w:rsidP="0053541A">
      <w:pPr>
        <w:pStyle w:val="ListParagraph"/>
        <w:numPr>
          <w:ilvl w:val="0"/>
          <w:numId w:val="14"/>
        </w:numPr>
        <w:ind w:left="1134"/>
        <w:jc w:val="both"/>
      </w:pPr>
      <w:r w:rsidRPr="00DD28C5">
        <w:t xml:space="preserve">non-prescribed medication and treatments for an ongoing medical condition as recommended by a medical </w:t>
      </w:r>
      <w:proofErr w:type="gramStart"/>
      <w:r w:rsidRPr="00DD28C5">
        <w:t>practitioner</w:t>
      </w:r>
      <w:proofErr w:type="gramEnd"/>
    </w:p>
    <w:p w14:paraId="3F9B884C" w14:textId="1C72E5DE" w:rsidR="00BF3451" w:rsidRPr="00DD28C5" w:rsidRDefault="00E37457" w:rsidP="0053541A">
      <w:pPr>
        <w:pStyle w:val="ListParagraph"/>
        <w:numPr>
          <w:ilvl w:val="0"/>
          <w:numId w:val="14"/>
        </w:numPr>
        <w:ind w:left="1134"/>
        <w:jc w:val="both"/>
      </w:pPr>
      <w:r w:rsidRPr="00DD28C5">
        <w:t xml:space="preserve">ongoing pharmaceuticals prescribed by a medical practitioner and not covered by the </w:t>
      </w:r>
      <w:proofErr w:type="gramStart"/>
      <w:r w:rsidRPr="00DD28C5">
        <w:t>PBS</w:t>
      </w:r>
      <w:proofErr w:type="gramEnd"/>
    </w:p>
    <w:p w14:paraId="19E2C9A1" w14:textId="77777777" w:rsidR="005B2C6B" w:rsidRPr="00DD28C5" w:rsidRDefault="00E37457" w:rsidP="0053541A">
      <w:pPr>
        <w:pStyle w:val="ListParagraph"/>
        <w:numPr>
          <w:ilvl w:val="0"/>
          <w:numId w:val="14"/>
        </w:numPr>
        <w:ind w:left="1134"/>
        <w:jc w:val="both"/>
      </w:pPr>
      <w:r w:rsidRPr="00DD28C5">
        <w:t>vaccination and immunisation costs, where vaccinations are listed on the Australian Standard Vaccination Schedule, or for any vaccination or immunisation that is recommended in writing by a medical practitioner (the Australian Standard Vaccination Schedule is available online:</w:t>
      </w:r>
    </w:p>
    <w:p w14:paraId="5EC9F1F4" w14:textId="5F55BAA3" w:rsidR="00E37457" w:rsidRPr="00DD28C5" w:rsidRDefault="00B15641" w:rsidP="0053541A">
      <w:pPr>
        <w:pStyle w:val="ListParagraph"/>
        <w:numPr>
          <w:ilvl w:val="2"/>
          <w:numId w:val="14"/>
        </w:numPr>
        <w:ind w:left="1418"/>
        <w:jc w:val="both"/>
        <w:rPr>
          <w:rStyle w:val="Hyperlink"/>
          <w:color w:val="auto"/>
          <w:u w:val="none"/>
        </w:rPr>
      </w:pPr>
      <w:hyperlink r:id="rId14" w:history="1">
        <w:r w:rsidR="005B2C6B" w:rsidRPr="00DD28C5">
          <w:rPr>
            <w:rStyle w:val="Hyperlink"/>
          </w:rPr>
          <w:t>https://www.mydr.com.au/kids-teens-health/vaccination-australian-standard-vaccination-schedule</w:t>
        </w:r>
      </w:hyperlink>
    </w:p>
    <w:p w14:paraId="24A0377A" w14:textId="08287080" w:rsidR="00E37457" w:rsidRPr="00DD28C5" w:rsidRDefault="00E37457" w:rsidP="0053541A">
      <w:pPr>
        <w:pStyle w:val="ListParagraph"/>
        <w:numPr>
          <w:ilvl w:val="0"/>
          <w:numId w:val="15"/>
        </w:numPr>
        <w:jc w:val="both"/>
      </w:pPr>
      <w:r w:rsidRPr="00DD28C5">
        <w:t xml:space="preserve">specialised meal supplements for a stabilised or permanent functional disability as determined by an approved case </w:t>
      </w:r>
      <w:proofErr w:type="gramStart"/>
      <w:r w:rsidRPr="00DD28C5">
        <w:t>plan, unless</w:t>
      </w:r>
      <w:proofErr w:type="gramEnd"/>
      <w:r w:rsidRPr="00DD28C5">
        <w:t xml:space="preserve"> these are covered by the high support needs allowance</w:t>
      </w:r>
      <w:r w:rsidR="00C0264A" w:rsidRPr="00DD28C5">
        <w:t xml:space="preserve"> or through the child’s NDIS plan.</w:t>
      </w:r>
    </w:p>
    <w:p w14:paraId="4809A909" w14:textId="45E434F7" w:rsidR="00E37457" w:rsidRPr="00D73C41" w:rsidRDefault="00E37457" w:rsidP="00A33BEE">
      <w:pPr>
        <w:pStyle w:val="ListParagraph"/>
        <w:numPr>
          <w:ilvl w:val="0"/>
          <w:numId w:val="4"/>
        </w:numPr>
        <w:jc w:val="both"/>
      </w:pPr>
      <w:r w:rsidRPr="00DD28C5">
        <w:t>Where relevant, treatment is to</w:t>
      </w:r>
      <w:r w:rsidR="007A46EC" w:rsidRPr="00DD28C5">
        <w:t xml:space="preserve"> be</w:t>
      </w:r>
      <w:r w:rsidRPr="00DD28C5">
        <w:t xml:space="preserve"> detailed in the child’s </w:t>
      </w:r>
      <w:r w:rsidRPr="00D73C41">
        <w:t xml:space="preserve">case plan and </w:t>
      </w:r>
      <w:r w:rsidR="00936128" w:rsidRPr="00D73C41">
        <w:t xml:space="preserve">comprehensive </w:t>
      </w:r>
      <w:r w:rsidR="00E044CB" w:rsidRPr="00D73C41">
        <w:t xml:space="preserve">health </w:t>
      </w:r>
      <w:r w:rsidR="00936128" w:rsidRPr="00D73C41">
        <w:t>assessment</w:t>
      </w:r>
      <w:r w:rsidRPr="00D73C41">
        <w:t>.</w:t>
      </w:r>
    </w:p>
    <w:p w14:paraId="137D6FA9" w14:textId="7DB56496" w:rsidR="00037DA7" w:rsidRPr="00D73C41" w:rsidRDefault="004760B9" w:rsidP="00037DA7">
      <w:pPr>
        <w:pStyle w:val="Heading3"/>
        <w:contextualSpacing/>
      </w:pPr>
      <w:r w:rsidRPr="00D73C41">
        <w:t>Specialist – Physical Health (</w:t>
      </w:r>
      <w:r w:rsidR="00037DA7" w:rsidRPr="00D73C41">
        <w:t>G/L Account C</w:t>
      </w:r>
      <w:r w:rsidRPr="00D73C41">
        <w:t>ode: 530413)</w:t>
      </w:r>
    </w:p>
    <w:p w14:paraId="10D6E359" w14:textId="791A0184" w:rsidR="004760B9" w:rsidRDefault="004760B9" w:rsidP="00037DA7">
      <w:pPr>
        <w:contextualSpacing/>
        <w:jc w:val="both"/>
      </w:pPr>
      <w:r w:rsidRPr="00D73C41">
        <w:t xml:space="preserve">This </w:t>
      </w:r>
      <w:r w:rsidR="00037DA7" w:rsidRPr="00D73C41">
        <w:t>category</w:t>
      </w:r>
      <w:r w:rsidRPr="00D73C41">
        <w:t xml:space="preserve"> is to be used when a child or young person requires ongoing specialist assessment and/or treatment as part of continuous medical treatment relative to physical health needs as recommended by a GP, specialist or other qualified professional (</w:t>
      </w:r>
      <w:proofErr w:type="gramStart"/>
      <w:r w:rsidRPr="00D73C41">
        <w:t>i.e.</w:t>
      </w:r>
      <w:proofErr w:type="gramEnd"/>
      <w:r w:rsidRPr="00D73C41">
        <w:t xml:space="preserve"> speech therapy, p</w:t>
      </w:r>
      <w:r w:rsidR="00C0264A" w:rsidRPr="00D73C41">
        <w:t>hysiotherapy or mobility aids), and these assessments or treatments are not related to disability and covered by a child’s NDIS plan.</w:t>
      </w:r>
    </w:p>
    <w:p w14:paraId="33C61CCA" w14:textId="77777777" w:rsidR="00037DA7" w:rsidRDefault="00037DA7" w:rsidP="004760B9">
      <w:pPr>
        <w:contextualSpacing/>
        <w:jc w:val="both"/>
      </w:pPr>
    </w:p>
    <w:p w14:paraId="0F48B437" w14:textId="77777777" w:rsidR="004760B9" w:rsidRDefault="004760B9" w:rsidP="00037DA7">
      <w:pPr>
        <w:contextualSpacing/>
        <w:jc w:val="both"/>
      </w:pPr>
      <w:r>
        <w:t xml:space="preserve">Mobility aids and equipment can include: </w:t>
      </w:r>
    </w:p>
    <w:p w14:paraId="73365D19" w14:textId="413DDC83" w:rsidR="004760B9" w:rsidRDefault="004760B9" w:rsidP="00037DA7">
      <w:pPr>
        <w:pStyle w:val="ListParagraph"/>
        <w:numPr>
          <w:ilvl w:val="0"/>
          <w:numId w:val="4"/>
        </w:numPr>
        <w:jc w:val="both"/>
      </w:pPr>
      <w:r>
        <w:t xml:space="preserve">optical equipment </w:t>
      </w:r>
    </w:p>
    <w:p w14:paraId="079E6DFD" w14:textId="4D3F44EA" w:rsidR="004760B9" w:rsidRDefault="004760B9" w:rsidP="00037DA7">
      <w:pPr>
        <w:pStyle w:val="ListParagraph"/>
        <w:numPr>
          <w:ilvl w:val="0"/>
          <w:numId w:val="4"/>
        </w:numPr>
        <w:jc w:val="both"/>
      </w:pPr>
      <w:r>
        <w:t xml:space="preserve">audio logical aids </w:t>
      </w:r>
    </w:p>
    <w:p w14:paraId="63EE3795" w14:textId="17FA1973" w:rsidR="004760B9" w:rsidRDefault="004760B9" w:rsidP="00037DA7">
      <w:pPr>
        <w:pStyle w:val="ListParagraph"/>
        <w:numPr>
          <w:ilvl w:val="0"/>
          <w:numId w:val="4"/>
        </w:numPr>
        <w:jc w:val="both"/>
      </w:pPr>
      <w:r>
        <w:t xml:space="preserve">aids and equipment for a child or young person with a disability (for example, nebulisers, wheelchairs, incontinence aids, diabetes home tests). </w:t>
      </w:r>
    </w:p>
    <w:p w14:paraId="10AFA6C8" w14:textId="0FC02C87" w:rsidR="004760B9" w:rsidRDefault="004760B9" w:rsidP="004760B9">
      <w:pPr>
        <w:jc w:val="both"/>
      </w:pPr>
      <w:r w:rsidRPr="00845E95">
        <w:t>Where possible it is requested that services be sought from a practitioner who provides a bulk billing service. For all equipment required the Medical Aids Subsidy Scheme (MASS) will be accessed</w:t>
      </w:r>
      <w:r w:rsidR="00C0264A">
        <w:t xml:space="preserve"> in addition to NDIS</w:t>
      </w:r>
      <w:r w:rsidRPr="00845E95">
        <w:t>, if applicable.  MASS provides subsidised medical aids and equipment from an approved list for holders of a Health Care Card who have a stabilised or permanent functional disability. Applications for MASS are made by a health professional following a needs assessment.</w:t>
      </w:r>
    </w:p>
    <w:p w14:paraId="69958F0D" w14:textId="7FD76E2F" w:rsidR="00B575FB" w:rsidRDefault="004760B9" w:rsidP="004760B9">
      <w:pPr>
        <w:jc w:val="both"/>
        <w:rPr>
          <w:rStyle w:val="Hyperlink"/>
        </w:rPr>
      </w:pPr>
      <w:r>
        <w:t xml:space="preserve">For more on MASS contact your local MASS service centre, health care professional/provider or community health centre or go to the MASS website at:  </w:t>
      </w:r>
      <w:proofErr w:type="gramStart"/>
      <w:r w:rsidRPr="00C0264A">
        <w:rPr>
          <w:rStyle w:val="Hyperlink"/>
        </w:rPr>
        <w:t>https://www.health.qld.gov.au/mass</w:t>
      </w:r>
      <w:proofErr w:type="gramEnd"/>
    </w:p>
    <w:p w14:paraId="299DD3B8" w14:textId="1147358E" w:rsidR="00B575FB" w:rsidRDefault="00C0264A" w:rsidP="004760B9">
      <w:pPr>
        <w:jc w:val="both"/>
      </w:pPr>
      <w:r>
        <w:t xml:space="preserve">The NDIS funds aids and equipment for its participants that are related to their disability.  More information can be found at </w:t>
      </w:r>
      <w:hyperlink r:id="rId15" w:history="1">
        <w:r w:rsidRPr="001F1487">
          <w:rPr>
            <w:rStyle w:val="Hyperlink"/>
          </w:rPr>
          <w:t>www.ndis.gov.au</w:t>
        </w:r>
      </w:hyperlink>
      <w:r>
        <w:t xml:space="preserve">. </w:t>
      </w:r>
    </w:p>
    <w:p w14:paraId="3E0ED58F" w14:textId="7BBA6D58" w:rsidR="004135C9" w:rsidRDefault="004135C9" w:rsidP="00AC597F">
      <w:pPr>
        <w:pStyle w:val="Heading3"/>
      </w:pPr>
      <w:r>
        <w:t>Specialist – Mental Health (</w:t>
      </w:r>
      <w:r w:rsidR="00037DA7">
        <w:t xml:space="preserve">G/L </w:t>
      </w:r>
      <w:r>
        <w:t>A</w:t>
      </w:r>
      <w:r w:rsidR="00037DA7">
        <w:t>ccount C</w:t>
      </w:r>
      <w:r w:rsidRPr="00BD5BAF">
        <w:t>ode:</w:t>
      </w:r>
      <w:r>
        <w:t xml:space="preserve"> 530409</w:t>
      </w:r>
      <w:r w:rsidRPr="00BD5BAF">
        <w:t>)</w:t>
      </w:r>
    </w:p>
    <w:p w14:paraId="5A2391B6" w14:textId="3A01C187" w:rsidR="004135C9" w:rsidRDefault="004135C9" w:rsidP="004135C9">
      <w:pPr>
        <w:jc w:val="both"/>
      </w:pPr>
      <w:r>
        <w:t>This category is to be used when a child or young person requires ongoing psychiatry or psychology specialist assessments and/or treatment.</w:t>
      </w:r>
    </w:p>
    <w:p w14:paraId="066D7467" w14:textId="5A82FEAB" w:rsidR="004135C9" w:rsidRDefault="004135C9" w:rsidP="00AC597F">
      <w:pPr>
        <w:pStyle w:val="Heading3"/>
      </w:pPr>
      <w:r>
        <w:lastRenderedPageBreak/>
        <w:t>Hospital Services (</w:t>
      </w:r>
      <w:r w:rsidR="00037DA7">
        <w:t>G/L Account C</w:t>
      </w:r>
      <w:r w:rsidR="00037DA7" w:rsidRPr="00BD5BAF">
        <w:t>ode</w:t>
      </w:r>
      <w:r w:rsidRPr="00BD5BAF">
        <w:t xml:space="preserve">: </w:t>
      </w:r>
      <w:r>
        <w:t>530411</w:t>
      </w:r>
      <w:r w:rsidRPr="00BD5BAF">
        <w:t>)</w:t>
      </w:r>
    </w:p>
    <w:p w14:paraId="30174FA9" w14:textId="6E70C02F" w:rsidR="004135C9" w:rsidRPr="006532B4" w:rsidRDefault="004135C9" w:rsidP="004135C9">
      <w:pPr>
        <w:jc w:val="both"/>
      </w:pPr>
      <w:r w:rsidRPr="006532B4">
        <w:t xml:space="preserve">This category is to be used when a child or young person requires hospital services. Unless hospital services are required in an emergency, hospital admission of a child or young person must be authorised by a </w:t>
      </w:r>
      <w:r>
        <w:t>GP</w:t>
      </w:r>
      <w:r w:rsidRPr="006532B4">
        <w:t xml:space="preserve"> or a specialist.</w:t>
      </w:r>
    </w:p>
    <w:p w14:paraId="0957E1BC" w14:textId="06855A45" w:rsidR="004135C9" w:rsidRPr="006532B4" w:rsidRDefault="004135C9" w:rsidP="004135C9">
      <w:pPr>
        <w:jc w:val="both"/>
      </w:pPr>
      <w:r w:rsidRPr="00845E95">
        <w:t>Where possible the public hospital is to be accessed</w:t>
      </w:r>
      <w:r w:rsidRPr="006532B4">
        <w:t xml:space="preserve"> in the first instance. If admission as a public patient is not possible within the timeframe recommended in writing by the </w:t>
      </w:r>
      <w:r>
        <w:t>GP</w:t>
      </w:r>
      <w:r w:rsidRPr="006532B4">
        <w:t xml:space="preserve"> or specialist, then the </w:t>
      </w:r>
      <w:r w:rsidR="00662BF4">
        <w:t>CSSC</w:t>
      </w:r>
      <w:r w:rsidRPr="006532B4">
        <w:t xml:space="preserve"> Manager may grant permission for the child or young person to access the private health system.</w:t>
      </w:r>
    </w:p>
    <w:p w14:paraId="0B7BACE3" w14:textId="77777777" w:rsidR="004135C9" w:rsidRPr="006532B4" w:rsidRDefault="004135C9" w:rsidP="004135C9">
      <w:pPr>
        <w:jc w:val="both"/>
      </w:pPr>
      <w:r w:rsidRPr="00845E95">
        <w:t>Where a carer chooses to use a private or intermediate hospital when a public hospital vacancy is available within the recommended timeframe, the carer is required to meet the additional costs</w:t>
      </w:r>
      <w:r w:rsidRPr="006532B4">
        <w:t>.</w:t>
      </w:r>
    </w:p>
    <w:p w14:paraId="15C38B0E" w14:textId="18B9F44C" w:rsidR="004135C9" w:rsidRDefault="004135C9" w:rsidP="00AC597F">
      <w:pPr>
        <w:pStyle w:val="Heading3"/>
      </w:pPr>
      <w:r>
        <w:t>Dental and Orthodontic (</w:t>
      </w:r>
      <w:r w:rsidR="00662BF4">
        <w:t>G/L Account C</w:t>
      </w:r>
      <w:r w:rsidR="00662BF4" w:rsidRPr="00BD5BAF">
        <w:t>ode</w:t>
      </w:r>
      <w:r w:rsidRPr="00BD5BAF">
        <w:t xml:space="preserve">: </w:t>
      </w:r>
      <w:r>
        <w:t>530414</w:t>
      </w:r>
      <w:r w:rsidRPr="00BD5BAF">
        <w:t>)</w:t>
      </w:r>
    </w:p>
    <w:p w14:paraId="09BA4665" w14:textId="30DDC1C1" w:rsidR="004135C9" w:rsidRDefault="004135C9" w:rsidP="004135C9">
      <w:pPr>
        <w:jc w:val="both"/>
      </w:pPr>
      <w:r>
        <w:t>This category is to be used when a child or young person requires dental or orthodontic treatment and where access to public services is not available.</w:t>
      </w:r>
    </w:p>
    <w:p w14:paraId="4A2B4DE8" w14:textId="612B2D1E" w:rsidR="004135C9" w:rsidRPr="004135C9" w:rsidRDefault="004135C9" w:rsidP="004135C9">
      <w:pPr>
        <w:jc w:val="both"/>
        <w:rPr>
          <w:i/>
        </w:rPr>
      </w:pPr>
      <w:r w:rsidRPr="004135C9">
        <w:rPr>
          <w:i/>
        </w:rPr>
        <w:t xml:space="preserve">Dental treatment is not covered by the </w:t>
      </w:r>
      <w:r w:rsidR="0065272C">
        <w:rPr>
          <w:i/>
        </w:rPr>
        <w:t>F</w:t>
      </w:r>
      <w:r w:rsidRPr="004135C9">
        <w:rPr>
          <w:i/>
        </w:rPr>
        <w:t xml:space="preserve">ortnightly </w:t>
      </w:r>
      <w:r w:rsidR="0065272C">
        <w:rPr>
          <w:i/>
        </w:rPr>
        <w:t>C</w:t>
      </w:r>
      <w:r w:rsidRPr="004135C9">
        <w:rPr>
          <w:i/>
        </w:rPr>
        <w:t xml:space="preserve">aring </w:t>
      </w:r>
      <w:r w:rsidR="0065272C">
        <w:rPr>
          <w:i/>
        </w:rPr>
        <w:t>A</w:t>
      </w:r>
      <w:r w:rsidRPr="004135C9">
        <w:rPr>
          <w:i/>
        </w:rPr>
        <w:t>llowance.</w:t>
      </w:r>
    </w:p>
    <w:p w14:paraId="7A58A67A" w14:textId="77777777" w:rsidR="004135C9" w:rsidRDefault="004135C9" w:rsidP="004135C9">
      <w:pPr>
        <w:jc w:val="both"/>
      </w:pPr>
      <w:r>
        <w:t>The child or young person’s carer will arrange for the child or young person to visit a dental hospital, school dental clinic, or a local dentist every six months.</w:t>
      </w:r>
    </w:p>
    <w:p w14:paraId="78786010" w14:textId="1E880A0F" w:rsidR="004135C9" w:rsidRDefault="004135C9" w:rsidP="0080694B">
      <w:r>
        <w:t xml:space="preserve">Queensland Health provide free dental care for children </w:t>
      </w:r>
      <w:r w:rsidR="0080694B">
        <w:t xml:space="preserve">and young people from four years of age up to young people who have not completed year 10, this treatment includes general dental care and emergency dental care.  For more </w:t>
      </w:r>
      <w:proofErr w:type="gramStart"/>
      <w:r w:rsidR="0080694B">
        <w:t>information</w:t>
      </w:r>
      <w:proofErr w:type="gramEnd"/>
      <w:r w:rsidR="0080694B">
        <w:t xml:space="preserve"> please refer to the following web site: </w:t>
      </w:r>
      <w:hyperlink r:id="rId16" w:history="1">
        <w:r w:rsidR="0080694B" w:rsidRPr="002B3BC1">
          <w:rPr>
            <w:rStyle w:val="Hyperlink"/>
          </w:rPr>
          <w:t>https://www.health.qld.gov.au/oralhealth/services/school</w:t>
        </w:r>
      </w:hyperlink>
    </w:p>
    <w:p w14:paraId="7678E2DF" w14:textId="11230A45" w:rsidR="004135C9" w:rsidRPr="00845E95" w:rsidRDefault="004135C9" w:rsidP="004135C9">
      <w:pPr>
        <w:jc w:val="both"/>
      </w:pPr>
      <w:r w:rsidRPr="00845E95">
        <w:t xml:space="preserve">If orthodontic treatment is required and advised by a qualified dental/orthodontic surgeon, </w:t>
      </w:r>
      <w:r w:rsidR="0080694B" w:rsidRPr="00845E95">
        <w:t xml:space="preserve">CRC can cover the costs associated with all ongoing orthodontic treatment. Refer to the financial delegate schedule (referenced on page 3) for approval requirements. </w:t>
      </w:r>
    </w:p>
    <w:p w14:paraId="16A480A5" w14:textId="313A241C" w:rsidR="004135C9" w:rsidRDefault="004135C9" w:rsidP="004135C9">
      <w:pPr>
        <w:jc w:val="both"/>
      </w:pPr>
      <w:r w:rsidRPr="00845E95">
        <w:rPr>
          <w:szCs w:val="22"/>
        </w:rPr>
        <w:t>If a carer choose</w:t>
      </w:r>
      <w:r w:rsidR="0080694B" w:rsidRPr="00845E95">
        <w:rPr>
          <w:szCs w:val="22"/>
        </w:rPr>
        <w:t>s</w:t>
      </w:r>
      <w:r w:rsidRPr="00845E95">
        <w:rPr>
          <w:szCs w:val="22"/>
        </w:rPr>
        <w:t xml:space="preserve"> to use their private health cover for dental and/or</w:t>
      </w:r>
      <w:r w:rsidR="0080694B" w:rsidRPr="00845E95">
        <w:rPr>
          <w:szCs w:val="22"/>
        </w:rPr>
        <w:t xml:space="preserve"> orthodontic treatment and the required financial delegate has provided their prior approval for this to occur Child Safety will utilise CRC to</w:t>
      </w:r>
      <w:r w:rsidRPr="00845E95">
        <w:rPr>
          <w:szCs w:val="22"/>
        </w:rPr>
        <w:t xml:space="preserve"> pay the gap fee for the required treatment.</w:t>
      </w:r>
    </w:p>
    <w:p w14:paraId="67EFAB48" w14:textId="40F07F6B" w:rsidR="0080694B" w:rsidRPr="00BD5BAF" w:rsidRDefault="0080694B" w:rsidP="00AC597F">
      <w:pPr>
        <w:pStyle w:val="Heading3"/>
      </w:pPr>
      <w:r>
        <w:t>Substance Testing – Parents (</w:t>
      </w:r>
      <w:r w:rsidR="00662BF4">
        <w:t>G/L Account C</w:t>
      </w:r>
      <w:r w:rsidR="00662BF4" w:rsidRPr="00BD5BAF">
        <w:t>ode</w:t>
      </w:r>
      <w:r w:rsidRPr="00BD5BAF">
        <w:t xml:space="preserve">: </w:t>
      </w:r>
      <w:r>
        <w:t>530412</w:t>
      </w:r>
      <w:r w:rsidRPr="00BD5BAF">
        <w:t>)</w:t>
      </w:r>
    </w:p>
    <w:p w14:paraId="708AD02E" w14:textId="3BCA96AA" w:rsidR="0080694B" w:rsidRPr="0049587D" w:rsidRDefault="00662BF4" w:rsidP="0080694B">
      <w:pPr>
        <w:jc w:val="both"/>
      </w:pPr>
      <w:r>
        <w:t>This</w:t>
      </w:r>
      <w:r w:rsidR="0080694B" w:rsidRPr="0049587D">
        <w:t xml:space="preserve"> category is used for the costs associated with substance testing of a parent. Where there are indicators that a parent is engaging in serious and persistent substance misuse, contributing to a child </w:t>
      </w:r>
      <w:r w:rsidR="005A6390">
        <w:t xml:space="preserve">or young person </w:t>
      </w:r>
      <w:proofErr w:type="gramStart"/>
      <w:r w:rsidR="0080694B" w:rsidRPr="0049587D">
        <w:t>being in need of</w:t>
      </w:r>
      <w:proofErr w:type="gramEnd"/>
      <w:r w:rsidR="0080694B" w:rsidRPr="0049587D">
        <w:t xml:space="preserve"> protection, substance testing </w:t>
      </w:r>
      <w:r w:rsidR="00B52731">
        <w:t xml:space="preserve">may </w:t>
      </w:r>
      <w:r w:rsidR="0080694B" w:rsidRPr="0049587D">
        <w:t>be required as part of the ca</w:t>
      </w:r>
      <w:r w:rsidR="005A6390">
        <w:t xml:space="preserve">se plan for ensuring the child or young person’s </w:t>
      </w:r>
      <w:r w:rsidR="0080694B" w:rsidRPr="0049587D">
        <w:t>safety and wellbeing.</w:t>
      </w:r>
    </w:p>
    <w:p w14:paraId="0F3BA06A" w14:textId="0DCA73A5" w:rsidR="0039337B" w:rsidRDefault="0039337B">
      <w:pPr>
        <w:spacing w:after="0"/>
        <w:rPr>
          <w:b/>
          <w:sz w:val="24"/>
        </w:rPr>
      </w:pPr>
      <w:r>
        <w:rPr>
          <w:b/>
          <w:sz w:val="24"/>
        </w:rPr>
        <w:br w:type="page"/>
      </w:r>
    </w:p>
    <w:p w14:paraId="6740AF48" w14:textId="77777777" w:rsidR="0080694B" w:rsidRPr="00B575FB" w:rsidRDefault="0080694B" w:rsidP="0080694B">
      <w:pPr>
        <w:jc w:val="both"/>
        <w:rPr>
          <w:b/>
          <w:szCs w:val="22"/>
        </w:rPr>
      </w:pPr>
      <w:r w:rsidRPr="00B575FB">
        <w:rPr>
          <w:b/>
          <w:szCs w:val="22"/>
        </w:rPr>
        <w:lastRenderedPageBreak/>
        <w:t>Authority:</w:t>
      </w:r>
    </w:p>
    <w:p w14:paraId="379143BC" w14:textId="77777777" w:rsidR="0080694B" w:rsidRPr="00B575FB" w:rsidRDefault="0080694B" w:rsidP="0080694B">
      <w:pPr>
        <w:jc w:val="both"/>
        <w:rPr>
          <w:i/>
          <w:szCs w:val="22"/>
        </w:rPr>
      </w:pPr>
      <w:r w:rsidRPr="00B575FB">
        <w:rPr>
          <w:i/>
          <w:szCs w:val="22"/>
        </w:rPr>
        <w:t>Child Protection Act 1999</w:t>
      </w:r>
    </w:p>
    <w:p w14:paraId="5AE05052" w14:textId="77777777" w:rsidR="0080694B" w:rsidRPr="00B575FB" w:rsidRDefault="0080694B" w:rsidP="0080694B">
      <w:pPr>
        <w:jc w:val="both"/>
        <w:rPr>
          <w:i/>
          <w:szCs w:val="22"/>
        </w:rPr>
      </w:pPr>
      <w:r w:rsidRPr="00B575FB">
        <w:rPr>
          <w:i/>
          <w:szCs w:val="22"/>
        </w:rPr>
        <w:t>Financial Accountability Act 2009</w:t>
      </w:r>
    </w:p>
    <w:p w14:paraId="6A764F80" w14:textId="77777777" w:rsidR="0080694B" w:rsidRPr="00B575FB" w:rsidRDefault="0080694B" w:rsidP="0080694B">
      <w:pPr>
        <w:jc w:val="both"/>
        <w:rPr>
          <w:b/>
          <w:szCs w:val="22"/>
        </w:rPr>
      </w:pPr>
      <w:r w:rsidRPr="00B575FB">
        <w:rPr>
          <w:b/>
          <w:szCs w:val="22"/>
        </w:rPr>
        <w:t>Delegations:</w:t>
      </w:r>
    </w:p>
    <w:p w14:paraId="57D4C90D" w14:textId="4F8BC223" w:rsidR="0080694B" w:rsidRDefault="0080694B" w:rsidP="0080694B">
      <w:pPr>
        <w:jc w:val="both"/>
        <w:rPr>
          <w:szCs w:val="22"/>
        </w:rPr>
      </w:pPr>
      <w:r w:rsidRPr="00B575FB">
        <w:rPr>
          <w:szCs w:val="22"/>
        </w:rPr>
        <w:t xml:space="preserve">The use of </w:t>
      </w:r>
      <w:r w:rsidR="00662BF4" w:rsidRPr="00B575FB">
        <w:rPr>
          <w:szCs w:val="22"/>
        </w:rPr>
        <w:t>CRC</w:t>
      </w:r>
      <w:r w:rsidRPr="00B575FB">
        <w:rPr>
          <w:szCs w:val="22"/>
        </w:rPr>
        <w:t xml:space="preserve"> will be in accordance with departmental financial delegations and standards.</w:t>
      </w:r>
    </w:p>
    <w:p w14:paraId="5095EA7A" w14:textId="77777777" w:rsidR="0039337B" w:rsidRPr="006315AA" w:rsidRDefault="00B15641" w:rsidP="0039337B">
      <w:pPr>
        <w:rPr>
          <w:szCs w:val="22"/>
        </w:rPr>
      </w:pPr>
      <w:hyperlink r:id="rId17" w:history="1">
        <w:r w:rsidR="0039337B" w:rsidRPr="00A7167E">
          <w:rPr>
            <w:rStyle w:val="Hyperlink"/>
            <w:szCs w:val="22"/>
          </w:rPr>
          <w:t>Financial Delegations</w:t>
        </w:r>
      </w:hyperlink>
    </w:p>
    <w:p w14:paraId="16C9C868" w14:textId="77777777" w:rsidR="00D40614" w:rsidRDefault="00D40614" w:rsidP="00D40614">
      <w:pPr>
        <w:pBdr>
          <w:bottom w:val="single" w:sz="4" w:space="1" w:color="auto"/>
        </w:pBdr>
        <w:rPr>
          <w:sz w:val="12"/>
        </w:rPr>
      </w:pPr>
    </w:p>
    <w:p w14:paraId="561A0C61" w14:textId="5A9716EC" w:rsidR="00D40614" w:rsidRPr="000F3089" w:rsidRDefault="00D40614" w:rsidP="00D40614">
      <w:pPr>
        <w:tabs>
          <w:tab w:val="left" w:pos="2552"/>
        </w:tabs>
        <w:rPr>
          <w:szCs w:val="22"/>
        </w:rPr>
      </w:pPr>
      <w:r w:rsidRPr="000F3089">
        <w:rPr>
          <w:b/>
          <w:szCs w:val="22"/>
        </w:rPr>
        <w:t>Records File No.:</w:t>
      </w:r>
      <w:r w:rsidRPr="000F3089">
        <w:rPr>
          <w:szCs w:val="22"/>
        </w:rPr>
        <w:t xml:space="preserve"> </w:t>
      </w:r>
      <w:r w:rsidRPr="000F3089">
        <w:rPr>
          <w:szCs w:val="22"/>
        </w:rPr>
        <w:tab/>
      </w:r>
      <w:r w:rsidR="00447FF0" w:rsidRPr="00447FF0">
        <w:rPr>
          <w:szCs w:val="22"/>
        </w:rPr>
        <w:t>12/306/142630-P1</w:t>
      </w:r>
    </w:p>
    <w:p w14:paraId="4059D3D5" w14:textId="796D5A70" w:rsidR="00D40614" w:rsidRPr="000F3089" w:rsidRDefault="00D40614" w:rsidP="00D40614">
      <w:pPr>
        <w:tabs>
          <w:tab w:val="left" w:pos="2552"/>
        </w:tabs>
        <w:rPr>
          <w:szCs w:val="22"/>
        </w:rPr>
      </w:pPr>
      <w:r w:rsidRPr="000F3089">
        <w:rPr>
          <w:b/>
          <w:szCs w:val="22"/>
        </w:rPr>
        <w:t>Date of approval:</w:t>
      </w:r>
      <w:r w:rsidRPr="000F3089">
        <w:rPr>
          <w:szCs w:val="22"/>
        </w:rPr>
        <w:tab/>
      </w:r>
      <w:r w:rsidR="00D73C41">
        <w:rPr>
          <w:szCs w:val="22"/>
        </w:rPr>
        <w:t>23 October 2023</w:t>
      </w:r>
    </w:p>
    <w:p w14:paraId="5120701D" w14:textId="5DB9D731" w:rsidR="00D40614" w:rsidRPr="000F3089" w:rsidRDefault="00D40614" w:rsidP="00D40614">
      <w:pPr>
        <w:tabs>
          <w:tab w:val="left" w:pos="2552"/>
        </w:tabs>
        <w:rPr>
          <w:szCs w:val="22"/>
        </w:rPr>
      </w:pPr>
      <w:r w:rsidRPr="000F3089">
        <w:rPr>
          <w:b/>
          <w:szCs w:val="22"/>
        </w:rPr>
        <w:t>Date of operation:</w:t>
      </w:r>
      <w:r w:rsidRPr="000F3089">
        <w:rPr>
          <w:szCs w:val="22"/>
        </w:rPr>
        <w:tab/>
      </w:r>
      <w:r w:rsidR="00D73C41">
        <w:rPr>
          <w:szCs w:val="22"/>
        </w:rPr>
        <w:t>23 October 2023</w:t>
      </w:r>
    </w:p>
    <w:p w14:paraId="6479EB4A" w14:textId="30ED3568" w:rsidR="00D40614" w:rsidRPr="000F3089" w:rsidRDefault="00D40614" w:rsidP="00D40614">
      <w:pPr>
        <w:tabs>
          <w:tab w:val="left" w:pos="2552"/>
        </w:tabs>
        <w:rPr>
          <w:szCs w:val="22"/>
        </w:rPr>
      </w:pPr>
      <w:r w:rsidRPr="000F3089">
        <w:rPr>
          <w:b/>
          <w:szCs w:val="22"/>
        </w:rPr>
        <w:t>Date to be reviewed:</w:t>
      </w:r>
      <w:r w:rsidR="00424F02">
        <w:rPr>
          <w:szCs w:val="22"/>
        </w:rPr>
        <w:tab/>
      </w:r>
      <w:r w:rsidR="00D73C41">
        <w:rPr>
          <w:szCs w:val="22"/>
        </w:rPr>
        <w:t>23 October 2026</w:t>
      </w:r>
    </w:p>
    <w:p w14:paraId="34445F28" w14:textId="77777777" w:rsidR="00D40614" w:rsidRPr="000F3089" w:rsidRDefault="00D40614" w:rsidP="00D40614">
      <w:pPr>
        <w:pBdr>
          <w:bottom w:val="single" w:sz="4" w:space="1" w:color="auto"/>
        </w:pBdr>
        <w:rPr>
          <w:szCs w:val="22"/>
        </w:rPr>
      </w:pPr>
    </w:p>
    <w:p w14:paraId="3E03633D" w14:textId="1823BC5D" w:rsidR="00D40614" w:rsidRPr="000F3089" w:rsidRDefault="00D40614" w:rsidP="00D40614">
      <w:pPr>
        <w:tabs>
          <w:tab w:val="left" w:pos="2552"/>
        </w:tabs>
        <w:rPr>
          <w:szCs w:val="22"/>
        </w:rPr>
      </w:pPr>
      <w:r w:rsidRPr="000F3089">
        <w:rPr>
          <w:b/>
          <w:szCs w:val="22"/>
        </w:rPr>
        <w:t>Office:</w:t>
      </w:r>
      <w:r w:rsidRPr="000F3089">
        <w:rPr>
          <w:szCs w:val="22"/>
        </w:rPr>
        <w:tab/>
      </w:r>
      <w:r w:rsidR="003907E1">
        <w:rPr>
          <w:szCs w:val="22"/>
        </w:rPr>
        <w:t>Investment and Commissioning</w:t>
      </w:r>
    </w:p>
    <w:p w14:paraId="2302EF9B" w14:textId="2DFDFB40" w:rsidR="00D40614" w:rsidRPr="000F3089" w:rsidRDefault="00D40614" w:rsidP="00D40614">
      <w:pPr>
        <w:tabs>
          <w:tab w:val="left" w:pos="2552"/>
        </w:tabs>
        <w:rPr>
          <w:szCs w:val="22"/>
        </w:rPr>
      </w:pPr>
      <w:r w:rsidRPr="000F3089">
        <w:rPr>
          <w:b/>
          <w:szCs w:val="22"/>
        </w:rPr>
        <w:t>Help Contact:</w:t>
      </w:r>
      <w:r w:rsidRPr="000F3089">
        <w:rPr>
          <w:szCs w:val="22"/>
        </w:rPr>
        <w:tab/>
      </w:r>
      <w:r w:rsidR="00CF6C7C">
        <w:rPr>
          <w:szCs w:val="22"/>
        </w:rPr>
        <w:t xml:space="preserve">Family Based Care and Support </w:t>
      </w:r>
    </w:p>
    <w:p w14:paraId="42AEDBFC" w14:textId="77777777" w:rsidR="00D40614" w:rsidRDefault="00D40614" w:rsidP="00D40614">
      <w:pPr>
        <w:pBdr>
          <w:bottom w:val="single" w:sz="4" w:space="1" w:color="auto"/>
        </w:pBdr>
        <w:rPr>
          <w:sz w:val="12"/>
        </w:rPr>
      </w:pPr>
    </w:p>
    <w:p w14:paraId="2141CA10" w14:textId="77777777" w:rsidR="00465DB8" w:rsidRPr="000F3089" w:rsidRDefault="00465DB8" w:rsidP="00465DB8">
      <w:pPr>
        <w:jc w:val="both"/>
        <w:rPr>
          <w:b/>
          <w:szCs w:val="22"/>
        </w:rPr>
      </w:pPr>
      <w:r>
        <w:rPr>
          <w:b/>
          <w:szCs w:val="22"/>
        </w:rPr>
        <w:t>Links</w:t>
      </w:r>
    </w:p>
    <w:p w14:paraId="479D19F8" w14:textId="77777777" w:rsidR="00662BF4" w:rsidRDefault="00662BF4" w:rsidP="00662BF4">
      <w:pPr>
        <w:jc w:val="both"/>
        <w:rPr>
          <w:rFonts w:cs="Arial"/>
          <w:i/>
          <w:color w:val="000000"/>
          <w:szCs w:val="22"/>
        </w:rPr>
      </w:pPr>
      <w:r>
        <w:rPr>
          <w:rFonts w:cs="Arial"/>
          <w:i/>
          <w:color w:val="000000"/>
          <w:szCs w:val="22"/>
        </w:rPr>
        <w:t>Related Policy</w:t>
      </w:r>
    </w:p>
    <w:p w14:paraId="70FA22F8" w14:textId="77777777" w:rsidR="00662BF4" w:rsidRDefault="00662BF4" w:rsidP="00662BF4">
      <w:pPr>
        <w:rPr>
          <w:rFonts w:cs="Arial"/>
          <w:color w:val="000000"/>
          <w:szCs w:val="22"/>
        </w:rPr>
      </w:pPr>
      <w:r>
        <w:rPr>
          <w:rFonts w:cs="Arial"/>
          <w:color w:val="000000"/>
          <w:szCs w:val="22"/>
        </w:rPr>
        <w:t>CRC</w:t>
      </w:r>
      <w:r w:rsidRPr="0069331E">
        <w:rPr>
          <w:rFonts w:cs="Arial"/>
          <w:color w:val="000000"/>
          <w:szCs w:val="22"/>
        </w:rPr>
        <w:t xml:space="preserve"> </w:t>
      </w:r>
      <w:r>
        <w:rPr>
          <w:rFonts w:cs="Arial"/>
          <w:color w:val="000000"/>
          <w:szCs w:val="22"/>
        </w:rPr>
        <w:t>–</w:t>
      </w:r>
      <w:r w:rsidRPr="0069331E">
        <w:rPr>
          <w:rFonts w:cs="Arial"/>
          <w:color w:val="000000"/>
          <w:szCs w:val="22"/>
        </w:rPr>
        <w:t xml:space="preserve"> </w:t>
      </w:r>
      <w:r>
        <w:rPr>
          <w:rFonts w:cs="Arial"/>
          <w:color w:val="000000"/>
          <w:szCs w:val="22"/>
        </w:rPr>
        <w:t xml:space="preserve">645 </w:t>
      </w:r>
    </w:p>
    <w:p w14:paraId="471C892B" w14:textId="77777777" w:rsidR="00662BF4" w:rsidRDefault="00662BF4" w:rsidP="00662BF4">
      <w:pPr>
        <w:rPr>
          <w:rFonts w:cs="Arial"/>
          <w:color w:val="000000"/>
          <w:szCs w:val="22"/>
        </w:rPr>
      </w:pPr>
      <w:r>
        <w:rPr>
          <w:rFonts w:cs="Arial"/>
          <w:color w:val="000000"/>
          <w:szCs w:val="22"/>
        </w:rPr>
        <w:t>Case Planning (263)</w:t>
      </w:r>
    </w:p>
    <w:p w14:paraId="2CC700E0" w14:textId="77777777" w:rsidR="00662BF4" w:rsidRPr="00A51DAD" w:rsidRDefault="00662BF4" w:rsidP="00662BF4">
      <w:pPr>
        <w:rPr>
          <w:szCs w:val="22"/>
        </w:rPr>
      </w:pPr>
      <w:r>
        <w:rPr>
          <w:szCs w:val="22"/>
        </w:rPr>
        <w:t>Early Childhood Education and Care Participation Minimum Gap Payment Policy – CPADC 640-2</w:t>
      </w:r>
    </w:p>
    <w:p w14:paraId="69796B70" w14:textId="77777777" w:rsidR="00662BF4" w:rsidRDefault="00662BF4" w:rsidP="00662BF4">
      <w:pPr>
        <w:jc w:val="both"/>
        <w:rPr>
          <w:rFonts w:cs="Arial"/>
          <w:i/>
          <w:color w:val="000000"/>
          <w:szCs w:val="22"/>
        </w:rPr>
      </w:pPr>
      <w:r>
        <w:rPr>
          <w:rFonts w:cs="Arial"/>
          <w:i/>
          <w:color w:val="000000"/>
          <w:szCs w:val="22"/>
        </w:rPr>
        <w:t>Related Procedures</w:t>
      </w:r>
    </w:p>
    <w:p w14:paraId="721B8E43" w14:textId="79B25908" w:rsidR="00662BF4" w:rsidRPr="0069331E" w:rsidRDefault="00662BF4" w:rsidP="00662BF4">
      <w:pPr>
        <w:spacing w:after="120"/>
        <w:rPr>
          <w:szCs w:val="22"/>
        </w:rPr>
      </w:pPr>
      <w:r>
        <w:rPr>
          <w:szCs w:val="22"/>
        </w:rPr>
        <w:t>CRC</w:t>
      </w:r>
      <w:r w:rsidRPr="0069331E">
        <w:rPr>
          <w:szCs w:val="22"/>
        </w:rPr>
        <w:t xml:space="preserve"> – </w:t>
      </w:r>
      <w:r>
        <w:rPr>
          <w:szCs w:val="22"/>
        </w:rPr>
        <w:t>Education and Child Care Support</w:t>
      </w:r>
      <w:r w:rsidR="009E0C19">
        <w:rPr>
          <w:szCs w:val="22"/>
        </w:rPr>
        <w:t xml:space="preserve"> 645.2</w:t>
      </w:r>
    </w:p>
    <w:p w14:paraId="262D93BB" w14:textId="4A0E711B" w:rsidR="00662BF4" w:rsidRPr="0069331E" w:rsidRDefault="00662BF4" w:rsidP="00662BF4">
      <w:pPr>
        <w:spacing w:after="120"/>
        <w:rPr>
          <w:szCs w:val="22"/>
        </w:rPr>
      </w:pPr>
      <w:r>
        <w:rPr>
          <w:szCs w:val="22"/>
        </w:rPr>
        <w:t>CRC</w:t>
      </w:r>
      <w:r w:rsidRPr="0069331E">
        <w:rPr>
          <w:szCs w:val="22"/>
        </w:rPr>
        <w:t xml:space="preserve"> – Travel Support</w:t>
      </w:r>
      <w:r w:rsidR="009E0C19">
        <w:rPr>
          <w:szCs w:val="22"/>
        </w:rPr>
        <w:t xml:space="preserve"> 645.3</w:t>
      </w:r>
    </w:p>
    <w:p w14:paraId="3D893C48" w14:textId="2715F38C" w:rsidR="00662BF4" w:rsidRPr="0069331E" w:rsidRDefault="00662BF4" w:rsidP="00662BF4">
      <w:pPr>
        <w:spacing w:after="120"/>
        <w:rPr>
          <w:szCs w:val="22"/>
        </w:rPr>
      </w:pPr>
      <w:r>
        <w:rPr>
          <w:szCs w:val="22"/>
        </w:rPr>
        <w:t>CRC</w:t>
      </w:r>
      <w:r w:rsidRPr="0069331E">
        <w:rPr>
          <w:szCs w:val="22"/>
        </w:rPr>
        <w:t xml:space="preserve"> – Child and Young Person Support</w:t>
      </w:r>
      <w:r w:rsidR="009E0C19">
        <w:rPr>
          <w:szCs w:val="22"/>
        </w:rPr>
        <w:t xml:space="preserve"> 645.4</w:t>
      </w:r>
    </w:p>
    <w:p w14:paraId="54DA7DB5" w14:textId="102D1A6E" w:rsidR="00662BF4" w:rsidRDefault="00662BF4" w:rsidP="00662BF4">
      <w:pPr>
        <w:spacing w:after="120"/>
        <w:rPr>
          <w:szCs w:val="22"/>
        </w:rPr>
      </w:pPr>
      <w:r>
        <w:rPr>
          <w:szCs w:val="22"/>
        </w:rPr>
        <w:t>CRC</w:t>
      </w:r>
      <w:r w:rsidRPr="0069331E">
        <w:rPr>
          <w:szCs w:val="22"/>
        </w:rPr>
        <w:t xml:space="preserve"> – Carer Support</w:t>
      </w:r>
      <w:r w:rsidR="009E0C19">
        <w:rPr>
          <w:szCs w:val="22"/>
        </w:rPr>
        <w:t xml:space="preserve"> 645.5</w:t>
      </w:r>
    </w:p>
    <w:p w14:paraId="5D1563A4" w14:textId="77777777" w:rsidR="00662BF4" w:rsidRDefault="00662BF4" w:rsidP="00662BF4">
      <w:pPr>
        <w:rPr>
          <w:szCs w:val="22"/>
        </w:rPr>
      </w:pPr>
      <w:r>
        <w:rPr>
          <w:szCs w:val="22"/>
        </w:rPr>
        <w:t>Child Safety Practice Manual</w:t>
      </w:r>
    </w:p>
    <w:p w14:paraId="285009E6" w14:textId="77777777" w:rsidR="0039337B" w:rsidRDefault="0039337B">
      <w:pPr>
        <w:spacing w:after="0"/>
        <w:rPr>
          <w:b/>
          <w:color w:val="000000"/>
          <w:szCs w:val="22"/>
        </w:rPr>
      </w:pPr>
      <w:r>
        <w:rPr>
          <w:b/>
          <w:color w:val="000000"/>
          <w:szCs w:val="22"/>
        </w:rPr>
        <w:br w:type="page"/>
      </w:r>
    </w:p>
    <w:p w14:paraId="189C7115" w14:textId="0CE0D4CA" w:rsidR="00662BF4" w:rsidRPr="005C3013" w:rsidRDefault="00662BF4" w:rsidP="00662BF4">
      <w:pPr>
        <w:tabs>
          <w:tab w:val="left" w:pos="1418"/>
        </w:tabs>
        <w:rPr>
          <w:b/>
          <w:color w:val="000000"/>
          <w:szCs w:val="22"/>
        </w:rPr>
      </w:pPr>
      <w:r w:rsidRPr="005C3013">
        <w:rPr>
          <w:b/>
          <w:color w:val="000000"/>
          <w:szCs w:val="22"/>
        </w:rPr>
        <w:lastRenderedPageBreak/>
        <w:t>Related Legislation</w:t>
      </w:r>
    </w:p>
    <w:p w14:paraId="44AAF8B0" w14:textId="77777777" w:rsidR="00662BF4" w:rsidRPr="005C3013" w:rsidRDefault="00662BF4" w:rsidP="00662BF4">
      <w:pPr>
        <w:tabs>
          <w:tab w:val="left" w:pos="1418"/>
        </w:tabs>
        <w:spacing w:after="120"/>
        <w:rPr>
          <w:i/>
          <w:color w:val="000000"/>
          <w:szCs w:val="22"/>
        </w:rPr>
      </w:pPr>
      <w:r w:rsidRPr="005C3013">
        <w:rPr>
          <w:i/>
          <w:color w:val="000000"/>
          <w:szCs w:val="22"/>
        </w:rPr>
        <w:t>Financial Accountability Act 2009</w:t>
      </w:r>
    </w:p>
    <w:p w14:paraId="6E134B68" w14:textId="77777777" w:rsidR="00662BF4" w:rsidRPr="005C3013" w:rsidRDefault="00662BF4" w:rsidP="00662BF4">
      <w:pPr>
        <w:tabs>
          <w:tab w:val="left" w:pos="1418"/>
        </w:tabs>
        <w:spacing w:after="120"/>
        <w:rPr>
          <w:i/>
          <w:color w:val="000000"/>
          <w:szCs w:val="22"/>
        </w:rPr>
      </w:pPr>
      <w:r w:rsidRPr="005C3013">
        <w:rPr>
          <w:i/>
          <w:color w:val="000000"/>
          <w:szCs w:val="22"/>
        </w:rPr>
        <w:t>Child Protection Act 1999</w:t>
      </w:r>
    </w:p>
    <w:p w14:paraId="7540BBF4" w14:textId="33D91851" w:rsidR="00662BF4" w:rsidRPr="005C3013" w:rsidRDefault="00662BF4" w:rsidP="00662BF4">
      <w:pPr>
        <w:tabs>
          <w:tab w:val="left" w:pos="1418"/>
        </w:tabs>
        <w:spacing w:after="120"/>
        <w:rPr>
          <w:i/>
          <w:color w:val="000000"/>
          <w:szCs w:val="22"/>
        </w:rPr>
      </w:pPr>
      <w:r w:rsidRPr="005C3013">
        <w:rPr>
          <w:i/>
          <w:color w:val="000000"/>
          <w:szCs w:val="22"/>
        </w:rPr>
        <w:t xml:space="preserve">Child Protection Regulation </w:t>
      </w:r>
      <w:r w:rsidR="0053541A" w:rsidRPr="005C3013">
        <w:rPr>
          <w:i/>
          <w:color w:val="000000"/>
          <w:szCs w:val="22"/>
        </w:rPr>
        <w:t>20</w:t>
      </w:r>
      <w:r w:rsidR="0053541A">
        <w:rPr>
          <w:i/>
          <w:color w:val="000000"/>
          <w:szCs w:val="22"/>
        </w:rPr>
        <w:t>23</w:t>
      </w:r>
    </w:p>
    <w:p w14:paraId="4F77847D" w14:textId="77777777" w:rsidR="00662BF4" w:rsidRDefault="00662BF4" w:rsidP="00662BF4">
      <w:pPr>
        <w:tabs>
          <w:tab w:val="left" w:pos="1418"/>
        </w:tabs>
        <w:spacing w:after="120"/>
        <w:rPr>
          <w:i/>
          <w:color w:val="000000"/>
          <w:szCs w:val="22"/>
        </w:rPr>
      </w:pPr>
      <w:r w:rsidRPr="005C3013">
        <w:rPr>
          <w:i/>
          <w:color w:val="000000"/>
          <w:szCs w:val="22"/>
        </w:rPr>
        <w:t>Adoptions Act 2009</w:t>
      </w:r>
    </w:p>
    <w:p w14:paraId="37228B33" w14:textId="77777777" w:rsidR="00662BF4" w:rsidRDefault="00662BF4" w:rsidP="00662BF4">
      <w:pPr>
        <w:tabs>
          <w:tab w:val="left" w:pos="1418"/>
        </w:tabs>
        <w:rPr>
          <w:i/>
          <w:color w:val="000000"/>
          <w:szCs w:val="22"/>
        </w:rPr>
      </w:pPr>
      <w:r w:rsidRPr="005C3013">
        <w:rPr>
          <w:i/>
          <w:color w:val="000000"/>
          <w:szCs w:val="22"/>
        </w:rPr>
        <w:t>Human Rights Act 2019</w:t>
      </w:r>
    </w:p>
    <w:p w14:paraId="4342EA8F" w14:textId="44FB49B5" w:rsidR="00662BF4" w:rsidRDefault="00662BF4" w:rsidP="00662BF4">
      <w:pPr>
        <w:tabs>
          <w:tab w:val="left" w:pos="1418"/>
        </w:tabs>
        <w:rPr>
          <w:b/>
          <w:color w:val="000000"/>
          <w:szCs w:val="22"/>
        </w:rPr>
      </w:pPr>
      <w:r w:rsidRPr="005C3013">
        <w:rPr>
          <w:b/>
          <w:color w:val="000000"/>
          <w:szCs w:val="22"/>
        </w:rPr>
        <w:t>Related Guidelines</w:t>
      </w:r>
    </w:p>
    <w:p w14:paraId="792D5147" w14:textId="0A8BFE68" w:rsidR="00662BF4" w:rsidRDefault="00A33BEE" w:rsidP="00662BF4">
      <w:pPr>
        <w:tabs>
          <w:tab w:val="left" w:pos="1418"/>
        </w:tabs>
        <w:rPr>
          <w:color w:val="000000"/>
          <w:szCs w:val="22"/>
        </w:rPr>
      </w:pPr>
      <w:r>
        <w:rPr>
          <w:color w:val="000000"/>
          <w:szCs w:val="22"/>
        </w:rPr>
        <w:t xml:space="preserve">Money matters </w:t>
      </w:r>
    </w:p>
    <w:p w14:paraId="29089091" w14:textId="77777777" w:rsidR="00662BF4" w:rsidRPr="005C3013" w:rsidRDefault="00662BF4" w:rsidP="00662BF4">
      <w:pPr>
        <w:tabs>
          <w:tab w:val="left" w:pos="1418"/>
        </w:tabs>
        <w:rPr>
          <w:b/>
          <w:color w:val="000000"/>
          <w:szCs w:val="22"/>
        </w:rPr>
      </w:pPr>
      <w:r w:rsidRPr="005C3013">
        <w:rPr>
          <w:b/>
          <w:color w:val="000000"/>
          <w:szCs w:val="22"/>
        </w:rPr>
        <w:t>Forms</w:t>
      </w:r>
    </w:p>
    <w:p w14:paraId="489EC771" w14:textId="77777777" w:rsidR="00662BF4" w:rsidRPr="005C3013" w:rsidRDefault="00662BF4" w:rsidP="00662BF4">
      <w:pPr>
        <w:tabs>
          <w:tab w:val="left" w:pos="1418"/>
        </w:tabs>
        <w:rPr>
          <w:color w:val="000000"/>
          <w:szCs w:val="22"/>
        </w:rPr>
      </w:pPr>
      <w:r>
        <w:rPr>
          <w:color w:val="000000"/>
          <w:szCs w:val="22"/>
        </w:rPr>
        <w:t>CRC</w:t>
      </w:r>
      <w:r w:rsidRPr="005C3013">
        <w:rPr>
          <w:color w:val="000000"/>
          <w:szCs w:val="22"/>
        </w:rPr>
        <w:t xml:space="preserve"> Approval Form</w:t>
      </w:r>
    </w:p>
    <w:p w14:paraId="70474110" w14:textId="77777777" w:rsidR="00465DB8" w:rsidRPr="00B575FB" w:rsidRDefault="00465DB8" w:rsidP="00465DB8">
      <w:pPr>
        <w:pStyle w:val="Heading2"/>
        <w:jc w:val="both"/>
        <w:rPr>
          <w:sz w:val="22"/>
          <w:szCs w:val="22"/>
        </w:rPr>
      </w:pPr>
      <w:r w:rsidRPr="00B575FB">
        <w:rPr>
          <w:b w:val="0"/>
          <w:color w:val="000000"/>
          <w:sz w:val="22"/>
          <w:szCs w:val="22"/>
        </w:rPr>
        <w:t>Rescinded Policies/Procedures</w:t>
      </w:r>
    </w:p>
    <w:p w14:paraId="7898081B" w14:textId="77777777" w:rsidR="00465DB8" w:rsidRPr="00B575FB" w:rsidRDefault="00465DB8" w:rsidP="00465DB8">
      <w:pPr>
        <w:spacing w:before="240"/>
        <w:rPr>
          <w:szCs w:val="22"/>
        </w:rPr>
      </w:pPr>
      <w:r w:rsidRPr="00B575FB">
        <w:rPr>
          <w:szCs w:val="22"/>
        </w:rPr>
        <w:t>Child Related Costs – Medical CPD596-5</w:t>
      </w:r>
    </w:p>
    <w:p w14:paraId="7B7BF967" w14:textId="5E1BDF86" w:rsidR="00465DB8" w:rsidRPr="002B1B22" w:rsidRDefault="00B15641" w:rsidP="00D40614">
      <w:pPr>
        <w:rPr>
          <w:rFonts w:ascii="Arial Bold" w:hAnsi="Arial Bold" w:cs="Arial"/>
          <w:bCs/>
          <w:i/>
          <w:iCs/>
          <w:color w:val="000000"/>
          <w:sz w:val="24"/>
          <w:szCs w:val="22"/>
        </w:rPr>
      </w:pPr>
      <w:r>
        <w:rPr>
          <w:rFonts w:ascii="Arial Bold" w:hAnsi="Arial Bold" w:cs="Arial"/>
          <w:bCs/>
          <w:i/>
          <w:iCs/>
          <w:color w:val="000000"/>
          <w:sz w:val="24"/>
          <w:szCs w:val="22"/>
        </w:rPr>
        <w:pict w14:anchorId="6E5B024D">
          <v:rect id="_x0000_i1025" style="width:0;height:1.5pt" o:hralign="center" o:hrstd="t" o:hr="t" fillcolor="#a0a0a0" stroked="f"/>
        </w:pict>
      </w:r>
    </w:p>
    <w:p w14:paraId="78F7BF64" w14:textId="7C03292C" w:rsidR="00D40614" w:rsidRPr="002B1B22" w:rsidRDefault="00CF6C7C" w:rsidP="00D40614">
      <w:pPr>
        <w:rPr>
          <w:sz w:val="24"/>
          <w:szCs w:val="22"/>
        </w:rPr>
      </w:pPr>
      <w:r>
        <w:rPr>
          <w:bCs/>
          <w:sz w:val="24"/>
          <w:szCs w:val="22"/>
        </w:rPr>
        <w:t xml:space="preserve">Deidre </w:t>
      </w:r>
      <w:proofErr w:type="spellStart"/>
      <w:r>
        <w:rPr>
          <w:bCs/>
          <w:sz w:val="24"/>
          <w:szCs w:val="22"/>
        </w:rPr>
        <w:t>Mulkerin</w:t>
      </w:r>
      <w:proofErr w:type="spellEnd"/>
    </w:p>
    <w:p w14:paraId="53765D82" w14:textId="77777777" w:rsidR="00D40614" w:rsidRPr="002B1B22" w:rsidRDefault="00D40614" w:rsidP="00D40614">
      <w:pPr>
        <w:pStyle w:val="Heading7"/>
        <w:rPr>
          <w:rFonts w:ascii="Arial" w:hAnsi="Arial" w:cs="Arial"/>
          <w:color w:val="000000"/>
          <w:szCs w:val="22"/>
        </w:rPr>
        <w:sectPr w:rsidR="00D40614" w:rsidRPr="002B1B22" w:rsidSect="00AF5E5F">
          <w:type w:val="continuous"/>
          <w:pgSz w:w="11906" w:h="16838"/>
          <w:pgMar w:top="2127" w:right="1134" w:bottom="1134" w:left="1134" w:header="709" w:footer="1030" w:gutter="0"/>
          <w:cols w:space="709"/>
          <w:docGrid w:linePitch="360"/>
        </w:sectPr>
      </w:pPr>
    </w:p>
    <w:p w14:paraId="7EEE1991" w14:textId="77777777" w:rsidR="00D40614" w:rsidRPr="002B1B22" w:rsidRDefault="00D40614" w:rsidP="00D40614">
      <w:pPr>
        <w:pStyle w:val="Heading7"/>
        <w:rPr>
          <w:rFonts w:ascii="Arial" w:hAnsi="Arial" w:cs="Arial"/>
          <w:color w:val="000000"/>
          <w:szCs w:val="22"/>
        </w:rPr>
      </w:pPr>
      <w:r w:rsidRPr="002B1B22">
        <w:rPr>
          <w:rFonts w:ascii="Arial" w:hAnsi="Arial" w:cs="Arial"/>
          <w:color w:val="000000"/>
          <w:szCs w:val="22"/>
        </w:rPr>
        <w:t>Director-General</w:t>
      </w:r>
    </w:p>
    <w:p w14:paraId="0F57CB9C" w14:textId="77777777" w:rsidR="00A72C57" w:rsidRPr="00A72C57" w:rsidRDefault="00A72C57" w:rsidP="00A72C57">
      <w:pPr>
        <w:rPr>
          <w:lang w:val="en-US"/>
        </w:rPr>
      </w:pPr>
    </w:p>
    <w:sectPr w:rsidR="00A72C57" w:rsidRPr="00A72C57" w:rsidSect="00F11995">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88E4" w14:textId="77777777" w:rsidR="004C2A2C" w:rsidRDefault="004C2A2C">
      <w:r>
        <w:separator/>
      </w:r>
    </w:p>
  </w:endnote>
  <w:endnote w:type="continuationSeparator" w:id="0">
    <w:p w14:paraId="1F7902BF" w14:textId="77777777" w:rsidR="004C2A2C" w:rsidRDefault="004C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9A34" w14:textId="2D794D4E" w:rsidR="0080694B" w:rsidRDefault="00AF5E5F">
    <w:pPr>
      <w:pStyle w:val="Footer"/>
    </w:pPr>
    <w:r>
      <w:rPr>
        <w:rFonts w:asciiTheme="minorHAnsi" w:hAnsiTheme="minorHAnsi" w:cstheme="minorHAnsi"/>
        <w:noProof/>
        <w:sz w:val="18"/>
      </w:rPr>
      <w:drawing>
        <wp:anchor distT="0" distB="0" distL="114300" distR="114300" simplePos="0" relativeHeight="251660288" behindDoc="0" locked="0" layoutInCell="1" allowOverlap="1" wp14:anchorId="0EE87D1C" wp14:editId="0908FB96">
          <wp:simplePos x="0" y="0"/>
          <wp:positionH relativeFrom="margin">
            <wp:posOffset>5551513</wp:posOffset>
          </wp:positionH>
          <wp:positionV relativeFrom="paragraph">
            <wp:posOffset>74115</wp:posOffset>
          </wp:positionV>
          <wp:extent cx="568964" cy="709151"/>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2277" cy="71328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A5BD" w14:textId="77777777" w:rsidR="004C2A2C" w:rsidRDefault="004C2A2C">
      <w:r>
        <w:separator/>
      </w:r>
    </w:p>
  </w:footnote>
  <w:footnote w:type="continuationSeparator" w:id="0">
    <w:p w14:paraId="4761EFA8" w14:textId="77777777" w:rsidR="004C2A2C" w:rsidRDefault="004C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1FB" w14:textId="75B0318D" w:rsidR="00B21459" w:rsidRDefault="00AF5E5F">
    <w:pPr>
      <w:pStyle w:val="Header"/>
    </w:pPr>
    <w:r>
      <w:rPr>
        <w:noProof/>
      </w:rPr>
      <w:drawing>
        <wp:anchor distT="0" distB="0" distL="114300" distR="114300" simplePos="0" relativeHeight="251662336" behindDoc="1" locked="0" layoutInCell="1" allowOverlap="1" wp14:anchorId="0369E92F" wp14:editId="2E17B158">
          <wp:simplePos x="0" y="0"/>
          <wp:positionH relativeFrom="column">
            <wp:posOffset>-715992</wp:posOffset>
          </wp:positionH>
          <wp:positionV relativeFrom="paragraph">
            <wp:posOffset>-483714</wp:posOffset>
          </wp:positionV>
          <wp:extent cx="7560000" cy="13608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5055"/>
    <w:multiLevelType w:val="hybridMultilevel"/>
    <w:tmpl w:val="344A4B5E"/>
    <w:lvl w:ilvl="0" w:tplc="0C090001">
      <w:start w:val="1"/>
      <w:numFmt w:val="bullet"/>
      <w:lvlText w:val=""/>
      <w:lvlJc w:val="left"/>
      <w:pPr>
        <w:ind w:left="1074" w:hanging="360"/>
      </w:pPr>
      <w:rPr>
        <w:rFonts w:ascii="Symbol" w:hAnsi="Symbol" w:hint="default"/>
      </w:rPr>
    </w:lvl>
    <w:lvl w:ilvl="1" w:tplc="0C090001">
      <w:start w:val="1"/>
      <w:numFmt w:val="bullet"/>
      <w:lvlText w:val=""/>
      <w:lvlJc w:val="left"/>
      <w:pPr>
        <w:ind w:left="2154" w:hanging="720"/>
      </w:pPr>
      <w:rPr>
        <w:rFonts w:ascii="Symbol" w:hAnsi="Symbol" w:hint="default"/>
      </w:rPr>
    </w:lvl>
    <w:lvl w:ilvl="2" w:tplc="0C090005">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 w15:restartNumberingAfterBreak="0">
    <w:nsid w:val="19A1734D"/>
    <w:multiLevelType w:val="hybridMultilevel"/>
    <w:tmpl w:val="5B4281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CA34E54"/>
    <w:multiLevelType w:val="hybridMultilevel"/>
    <w:tmpl w:val="5252913C"/>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1416" w:hanging="360"/>
      </w:pPr>
      <w:rPr>
        <w:rFonts w:ascii="Courier New" w:hAnsi="Courier New" w:cs="Courier New" w:hint="default"/>
      </w:rPr>
    </w:lvl>
    <w:lvl w:ilvl="2" w:tplc="0C090005" w:tentative="1">
      <w:start w:val="1"/>
      <w:numFmt w:val="bullet"/>
      <w:lvlText w:val=""/>
      <w:lvlJc w:val="left"/>
      <w:pPr>
        <w:ind w:left="-696" w:hanging="360"/>
      </w:pPr>
      <w:rPr>
        <w:rFonts w:ascii="Wingdings" w:hAnsi="Wingdings" w:hint="default"/>
      </w:rPr>
    </w:lvl>
    <w:lvl w:ilvl="3" w:tplc="0C090001" w:tentative="1">
      <w:start w:val="1"/>
      <w:numFmt w:val="bullet"/>
      <w:lvlText w:val=""/>
      <w:lvlJc w:val="left"/>
      <w:pPr>
        <w:ind w:left="24" w:hanging="360"/>
      </w:pPr>
      <w:rPr>
        <w:rFonts w:ascii="Symbol" w:hAnsi="Symbol" w:hint="default"/>
      </w:rPr>
    </w:lvl>
    <w:lvl w:ilvl="4" w:tplc="0C090003" w:tentative="1">
      <w:start w:val="1"/>
      <w:numFmt w:val="bullet"/>
      <w:lvlText w:val="o"/>
      <w:lvlJc w:val="left"/>
      <w:pPr>
        <w:ind w:left="744" w:hanging="360"/>
      </w:pPr>
      <w:rPr>
        <w:rFonts w:ascii="Courier New" w:hAnsi="Courier New" w:cs="Courier New" w:hint="default"/>
      </w:rPr>
    </w:lvl>
    <w:lvl w:ilvl="5" w:tplc="0C090005" w:tentative="1">
      <w:start w:val="1"/>
      <w:numFmt w:val="bullet"/>
      <w:lvlText w:val=""/>
      <w:lvlJc w:val="left"/>
      <w:pPr>
        <w:ind w:left="1464" w:hanging="360"/>
      </w:pPr>
      <w:rPr>
        <w:rFonts w:ascii="Wingdings" w:hAnsi="Wingdings" w:hint="default"/>
      </w:rPr>
    </w:lvl>
    <w:lvl w:ilvl="6" w:tplc="0C090001" w:tentative="1">
      <w:start w:val="1"/>
      <w:numFmt w:val="bullet"/>
      <w:lvlText w:val=""/>
      <w:lvlJc w:val="left"/>
      <w:pPr>
        <w:ind w:left="2184" w:hanging="360"/>
      </w:pPr>
      <w:rPr>
        <w:rFonts w:ascii="Symbol" w:hAnsi="Symbol" w:hint="default"/>
      </w:rPr>
    </w:lvl>
    <w:lvl w:ilvl="7" w:tplc="0C090003" w:tentative="1">
      <w:start w:val="1"/>
      <w:numFmt w:val="bullet"/>
      <w:lvlText w:val="o"/>
      <w:lvlJc w:val="left"/>
      <w:pPr>
        <w:ind w:left="2904" w:hanging="360"/>
      </w:pPr>
      <w:rPr>
        <w:rFonts w:ascii="Courier New" w:hAnsi="Courier New" w:cs="Courier New" w:hint="default"/>
      </w:rPr>
    </w:lvl>
    <w:lvl w:ilvl="8" w:tplc="0C090005" w:tentative="1">
      <w:start w:val="1"/>
      <w:numFmt w:val="bullet"/>
      <w:lvlText w:val=""/>
      <w:lvlJc w:val="left"/>
      <w:pPr>
        <w:ind w:left="3624" w:hanging="360"/>
      </w:pPr>
      <w:rPr>
        <w:rFonts w:ascii="Wingdings" w:hAnsi="Wingdings" w:hint="default"/>
      </w:rPr>
    </w:lvl>
  </w:abstractNum>
  <w:abstractNum w:abstractNumId="3" w15:restartNumberingAfterBreak="0">
    <w:nsid w:val="1D450A49"/>
    <w:multiLevelType w:val="hybridMultilevel"/>
    <w:tmpl w:val="87C4F2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7E492A"/>
    <w:multiLevelType w:val="hybridMultilevel"/>
    <w:tmpl w:val="09647FB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534469C"/>
    <w:multiLevelType w:val="hybridMultilevel"/>
    <w:tmpl w:val="9168BF58"/>
    <w:lvl w:ilvl="0" w:tplc="0C090001">
      <w:start w:val="1"/>
      <w:numFmt w:val="bullet"/>
      <w:lvlText w:val=""/>
      <w:lvlJc w:val="left"/>
      <w:pPr>
        <w:ind w:left="720" w:hanging="360"/>
      </w:pPr>
      <w:rPr>
        <w:rFonts w:ascii="Symbol" w:hAnsi="Symbol" w:hint="default"/>
      </w:rPr>
    </w:lvl>
    <w:lvl w:ilvl="1" w:tplc="289418F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B57ACF"/>
    <w:multiLevelType w:val="hybridMultilevel"/>
    <w:tmpl w:val="4DD8C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FA618D"/>
    <w:multiLevelType w:val="hybridMultilevel"/>
    <w:tmpl w:val="5EC8B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537FD4"/>
    <w:multiLevelType w:val="hybridMultilevel"/>
    <w:tmpl w:val="247E49CE"/>
    <w:lvl w:ilvl="0" w:tplc="0C090001">
      <w:start w:val="1"/>
      <w:numFmt w:val="bullet"/>
      <w:lvlText w:val=""/>
      <w:lvlJc w:val="left"/>
      <w:pPr>
        <w:ind w:left="720" w:hanging="360"/>
      </w:pPr>
      <w:rPr>
        <w:rFonts w:ascii="Symbol" w:hAnsi="Symbol" w:hint="default"/>
      </w:rPr>
    </w:lvl>
    <w:lvl w:ilvl="1" w:tplc="CCB8493E">
      <w:numFmt w:val="bullet"/>
      <w:lvlText w:val="•"/>
      <w:lvlJc w:val="left"/>
      <w:pPr>
        <w:ind w:left="1800" w:hanging="72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CA7047"/>
    <w:multiLevelType w:val="hybridMultilevel"/>
    <w:tmpl w:val="355E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56087F"/>
    <w:multiLevelType w:val="hybridMultilevel"/>
    <w:tmpl w:val="62BAF0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F704E4"/>
    <w:multiLevelType w:val="hybridMultilevel"/>
    <w:tmpl w:val="E734503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1825101"/>
    <w:multiLevelType w:val="hybridMultilevel"/>
    <w:tmpl w:val="997A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FC4140"/>
    <w:multiLevelType w:val="hybridMultilevel"/>
    <w:tmpl w:val="EC8C7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3138602">
    <w:abstractNumId w:val="7"/>
  </w:num>
  <w:num w:numId="2" w16cid:durableId="959724837">
    <w:abstractNumId w:val="2"/>
  </w:num>
  <w:num w:numId="3" w16cid:durableId="119494629">
    <w:abstractNumId w:val="5"/>
  </w:num>
  <w:num w:numId="4" w16cid:durableId="280306450">
    <w:abstractNumId w:val="9"/>
  </w:num>
  <w:num w:numId="5" w16cid:durableId="112791426">
    <w:abstractNumId w:val="10"/>
  </w:num>
  <w:num w:numId="6" w16cid:durableId="1947150907">
    <w:abstractNumId w:val="1"/>
  </w:num>
  <w:num w:numId="7" w16cid:durableId="895898912">
    <w:abstractNumId w:val="8"/>
  </w:num>
  <w:num w:numId="8" w16cid:durableId="369497377">
    <w:abstractNumId w:val="3"/>
  </w:num>
  <w:num w:numId="9" w16cid:durableId="525366128">
    <w:abstractNumId w:val="13"/>
  </w:num>
  <w:num w:numId="10" w16cid:durableId="1167402244">
    <w:abstractNumId w:val="14"/>
  </w:num>
  <w:num w:numId="11" w16cid:durableId="464742588">
    <w:abstractNumId w:val="4"/>
  </w:num>
  <w:num w:numId="12" w16cid:durableId="336620194">
    <w:abstractNumId w:val="0"/>
  </w:num>
  <w:num w:numId="13" w16cid:durableId="1459644843">
    <w:abstractNumId w:val="6"/>
  </w:num>
  <w:num w:numId="14" w16cid:durableId="71858119">
    <w:abstractNumId w:val="11"/>
  </w:num>
  <w:num w:numId="15" w16cid:durableId="12755535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WsWrpY1b9a/hZGUmguUijx2iIUGBkC22zlqWT4RFS/pO7i3t1c0QjPsgNvqTnWaw6MDEFKNigF2pdizKn1f20Q==" w:salt="1l69FVtHiGBx3LJQvzhyM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7DA7"/>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B2C"/>
    <w:rsid w:val="000915B0"/>
    <w:rsid w:val="00091807"/>
    <w:rsid w:val="00092B8A"/>
    <w:rsid w:val="00093226"/>
    <w:rsid w:val="000940F2"/>
    <w:rsid w:val="00095398"/>
    <w:rsid w:val="000957D1"/>
    <w:rsid w:val="000958D1"/>
    <w:rsid w:val="000A1A2A"/>
    <w:rsid w:val="000A38B5"/>
    <w:rsid w:val="000A417D"/>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15D"/>
    <w:rsid w:val="000C5EF9"/>
    <w:rsid w:val="000C65FD"/>
    <w:rsid w:val="000D04E0"/>
    <w:rsid w:val="000D0827"/>
    <w:rsid w:val="000D0974"/>
    <w:rsid w:val="000D19B1"/>
    <w:rsid w:val="000D3398"/>
    <w:rsid w:val="000D4BDE"/>
    <w:rsid w:val="000D5B90"/>
    <w:rsid w:val="000E3449"/>
    <w:rsid w:val="000E4020"/>
    <w:rsid w:val="000E498B"/>
    <w:rsid w:val="000E530E"/>
    <w:rsid w:val="000E69DA"/>
    <w:rsid w:val="000E6FD8"/>
    <w:rsid w:val="000E72FB"/>
    <w:rsid w:val="000F0D16"/>
    <w:rsid w:val="000F11AC"/>
    <w:rsid w:val="000F2B0E"/>
    <w:rsid w:val="000F4320"/>
    <w:rsid w:val="000F5701"/>
    <w:rsid w:val="000F5DE0"/>
    <w:rsid w:val="000F6625"/>
    <w:rsid w:val="00100220"/>
    <w:rsid w:val="00101257"/>
    <w:rsid w:val="00101F26"/>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5A62"/>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2D7A"/>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A47"/>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06CED"/>
    <w:rsid w:val="002140B9"/>
    <w:rsid w:val="002203A6"/>
    <w:rsid w:val="0022141F"/>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1E3"/>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1B22"/>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B3"/>
    <w:rsid w:val="002F03C8"/>
    <w:rsid w:val="002F05F6"/>
    <w:rsid w:val="002F06F7"/>
    <w:rsid w:val="002F0A8B"/>
    <w:rsid w:val="002F5CDA"/>
    <w:rsid w:val="002F7B19"/>
    <w:rsid w:val="00302A75"/>
    <w:rsid w:val="003035B2"/>
    <w:rsid w:val="003039A9"/>
    <w:rsid w:val="00303DDD"/>
    <w:rsid w:val="00310794"/>
    <w:rsid w:val="00311541"/>
    <w:rsid w:val="00311BAB"/>
    <w:rsid w:val="00311DA3"/>
    <w:rsid w:val="0031271C"/>
    <w:rsid w:val="00313BE3"/>
    <w:rsid w:val="00317A94"/>
    <w:rsid w:val="00317B8E"/>
    <w:rsid w:val="003202E5"/>
    <w:rsid w:val="0032052F"/>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5EB"/>
    <w:rsid w:val="0038399A"/>
    <w:rsid w:val="003839CF"/>
    <w:rsid w:val="00385392"/>
    <w:rsid w:val="00386445"/>
    <w:rsid w:val="00387977"/>
    <w:rsid w:val="00387E72"/>
    <w:rsid w:val="003907E1"/>
    <w:rsid w:val="00390F37"/>
    <w:rsid w:val="0039337B"/>
    <w:rsid w:val="00393B3D"/>
    <w:rsid w:val="00393B64"/>
    <w:rsid w:val="00394450"/>
    <w:rsid w:val="00394A26"/>
    <w:rsid w:val="00394CE2"/>
    <w:rsid w:val="003975E5"/>
    <w:rsid w:val="003A080A"/>
    <w:rsid w:val="003A0968"/>
    <w:rsid w:val="003A0C94"/>
    <w:rsid w:val="003A251B"/>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35C9"/>
    <w:rsid w:val="004160F7"/>
    <w:rsid w:val="00416834"/>
    <w:rsid w:val="00417CC1"/>
    <w:rsid w:val="004200C6"/>
    <w:rsid w:val="004203CF"/>
    <w:rsid w:val="0042192A"/>
    <w:rsid w:val="00423575"/>
    <w:rsid w:val="00423825"/>
    <w:rsid w:val="00424F02"/>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47FF0"/>
    <w:rsid w:val="00450E5B"/>
    <w:rsid w:val="00452823"/>
    <w:rsid w:val="0045286A"/>
    <w:rsid w:val="00454795"/>
    <w:rsid w:val="00454AD2"/>
    <w:rsid w:val="00456F37"/>
    <w:rsid w:val="004573DB"/>
    <w:rsid w:val="00460670"/>
    <w:rsid w:val="00461540"/>
    <w:rsid w:val="00462DFB"/>
    <w:rsid w:val="00463665"/>
    <w:rsid w:val="00464047"/>
    <w:rsid w:val="004656A1"/>
    <w:rsid w:val="00465DB8"/>
    <w:rsid w:val="0046600D"/>
    <w:rsid w:val="00466620"/>
    <w:rsid w:val="004713FE"/>
    <w:rsid w:val="004721A1"/>
    <w:rsid w:val="0047419E"/>
    <w:rsid w:val="004760B9"/>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2A2C"/>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4F9A"/>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41A"/>
    <w:rsid w:val="0053581D"/>
    <w:rsid w:val="00535A34"/>
    <w:rsid w:val="00535D5C"/>
    <w:rsid w:val="0053659A"/>
    <w:rsid w:val="00536C89"/>
    <w:rsid w:val="00537510"/>
    <w:rsid w:val="00541633"/>
    <w:rsid w:val="005420A2"/>
    <w:rsid w:val="0054232E"/>
    <w:rsid w:val="00542E90"/>
    <w:rsid w:val="0054338B"/>
    <w:rsid w:val="005458E1"/>
    <w:rsid w:val="00545C9B"/>
    <w:rsid w:val="0054609D"/>
    <w:rsid w:val="005460D0"/>
    <w:rsid w:val="005465C3"/>
    <w:rsid w:val="00547A43"/>
    <w:rsid w:val="005512EA"/>
    <w:rsid w:val="00551E8E"/>
    <w:rsid w:val="00551F9A"/>
    <w:rsid w:val="005523D4"/>
    <w:rsid w:val="00552B35"/>
    <w:rsid w:val="00555DA1"/>
    <w:rsid w:val="00555EEE"/>
    <w:rsid w:val="00557939"/>
    <w:rsid w:val="0055795F"/>
    <w:rsid w:val="005604E8"/>
    <w:rsid w:val="00560F1A"/>
    <w:rsid w:val="00561458"/>
    <w:rsid w:val="0056187A"/>
    <w:rsid w:val="00562BBB"/>
    <w:rsid w:val="00562CB6"/>
    <w:rsid w:val="0056381D"/>
    <w:rsid w:val="005655FC"/>
    <w:rsid w:val="00565B18"/>
    <w:rsid w:val="00566686"/>
    <w:rsid w:val="00566733"/>
    <w:rsid w:val="005672CC"/>
    <w:rsid w:val="00572458"/>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390"/>
    <w:rsid w:val="005A64D3"/>
    <w:rsid w:val="005B04B2"/>
    <w:rsid w:val="005B09E5"/>
    <w:rsid w:val="005B29F6"/>
    <w:rsid w:val="005B2C6B"/>
    <w:rsid w:val="005B3392"/>
    <w:rsid w:val="005B3427"/>
    <w:rsid w:val="005B3C68"/>
    <w:rsid w:val="005B4861"/>
    <w:rsid w:val="005B4B35"/>
    <w:rsid w:val="005B4F19"/>
    <w:rsid w:val="005B5215"/>
    <w:rsid w:val="005C2476"/>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10D6"/>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0E8"/>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3CEB"/>
    <w:rsid w:val="006443F5"/>
    <w:rsid w:val="0064525C"/>
    <w:rsid w:val="00650723"/>
    <w:rsid w:val="00650B89"/>
    <w:rsid w:val="0065272C"/>
    <w:rsid w:val="00652F12"/>
    <w:rsid w:val="00654153"/>
    <w:rsid w:val="006563E8"/>
    <w:rsid w:val="0065671E"/>
    <w:rsid w:val="006609C0"/>
    <w:rsid w:val="00660F23"/>
    <w:rsid w:val="00661A6C"/>
    <w:rsid w:val="00662BF4"/>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93A"/>
    <w:rsid w:val="00695267"/>
    <w:rsid w:val="006953F5"/>
    <w:rsid w:val="00696638"/>
    <w:rsid w:val="006A06BD"/>
    <w:rsid w:val="006A1FE2"/>
    <w:rsid w:val="006A2B45"/>
    <w:rsid w:val="006A3FA7"/>
    <w:rsid w:val="006A5B16"/>
    <w:rsid w:val="006A60DB"/>
    <w:rsid w:val="006A6CB1"/>
    <w:rsid w:val="006A7C14"/>
    <w:rsid w:val="006B0DA8"/>
    <w:rsid w:val="006B2F0B"/>
    <w:rsid w:val="006B322F"/>
    <w:rsid w:val="006B38CE"/>
    <w:rsid w:val="006B4416"/>
    <w:rsid w:val="006B5B47"/>
    <w:rsid w:val="006B5F51"/>
    <w:rsid w:val="006B7014"/>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3A0F"/>
    <w:rsid w:val="006F51AC"/>
    <w:rsid w:val="006F5D5A"/>
    <w:rsid w:val="00701A86"/>
    <w:rsid w:val="00701ED4"/>
    <w:rsid w:val="0070605F"/>
    <w:rsid w:val="00710178"/>
    <w:rsid w:val="00713427"/>
    <w:rsid w:val="00713F81"/>
    <w:rsid w:val="007152E6"/>
    <w:rsid w:val="0071602D"/>
    <w:rsid w:val="007177B2"/>
    <w:rsid w:val="007225BE"/>
    <w:rsid w:val="00724AF6"/>
    <w:rsid w:val="007304F3"/>
    <w:rsid w:val="00731F8F"/>
    <w:rsid w:val="007332B1"/>
    <w:rsid w:val="00733823"/>
    <w:rsid w:val="00735225"/>
    <w:rsid w:val="00742DC7"/>
    <w:rsid w:val="007430DB"/>
    <w:rsid w:val="0074685F"/>
    <w:rsid w:val="0075120E"/>
    <w:rsid w:val="00754EE8"/>
    <w:rsid w:val="0075588A"/>
    <w:rsid w:val="00755FCA"/>
    <w:rsid w:val="00756B74"/>
    <w:rsid w:val="00756D5F"/>
    <w:rsid w:val="00757439"/>
    <w:rsid w:val="007611B5"/>
    <w:rsid w:val="0076206D"/>
    <w:rsid w:val="007628BE"/>
    <w:rsid w:val="00763406"/>
    <w:rsid w:val="007645C6"/>
    <w:rsid w:val="0076730E"/>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46EC"/>
    <w:rsid w:val="007A57FA"/>
    <w:rsid w:val="007A5855"/>
    <w:rsid w:val="007A7C47"/>
    <w:rsid w:val="007B0C49"/>
    <w:rsid w:val="007B2537"/>
    <w:rsid w:val="007B28EA"/>
    <w:rsid w:val="007B371E"/>
    <w:rsid w:val="007B3CBC"/>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4B"/>
    <w:rsid w:val="00806966"/>
    <w:rsid w:val="00806E6A"/>
    <w:rsid w:val="00811199"/>
    <w:rsid w:val="00811DC7"/>
    <w:rsid w:val="00813F77"/>
    <w:rsid w:val="00816A9D"/>
    <w:rsid w:val="008224EC"/>
    <w:rsid w:val="00822A00"/>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95"/>
    <w:rsid w:val="00846352"/>
    <w:rsid w:val="0084721A"/>
    <w:rsid w:val="00847CA4"/>
    <w:rsid w:val="0085011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A7BE9"/>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1A5E"/>
    <w:rsid w:val="009229CC"/>
    <w:rsid w:val="00922B2D"/>
    <w:rsid w:val="00923072"/>
    <w:rsid w:val="00923681"/>
    <w:rsid w:val="0092524B"/>
    <w:rsid w:val="009254A7"/>
    <w:rsid w:val="009259FE"/>
    <w:rsid w:val="0092633E"/>
    <w:rsid w:val="00926A36"/>
    <w:rsid w:val="00926AAD"/>
    <w:rsid w:val="00930C5E"/>
    <w:rsid w:val="0093117B"/>
    <w:rsid w:val="0093147B"/>
    <w:rsid w:val="00931929"/>
    <w:rsid w:val="0093291B"/>
    <w:rsid w:val="00933BEA"/>
    <w:rsid w:val="00934BE8"/>
    <w:rsid w:val="00936009"/>
    <w:rsid w:val="00936128"/>
    <w:rsid w:val="0093685B"/>
    <w:rsid w:val="00936997"/>
    <w:rsid w:val="00936F38"/>
    <w:rsid w:val="00937238"/>
    <w:rsid w:val="009421DC"/>
    <w:rsid w:val="00943993"/>
    <w:rsid w:val="00943F7A"/>
    <w:rsid w:val="0094448C"/>
    <w:rsid w:val="00945993"/>
    <w:rsid w:val="009462EE"/>
    <w:rsid w:val="00946B8A"/>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1D61"/>
    <w:rsid w:val="009D3309"/>
    <w:rsid w:val="009D7997"/>
    <w:rsid w:val="009D7D13"/>
    <w:rsid w:val="009E05C7"/>
    <w:rsid w:val="009E0C19"/>
    <w:rsid w:val="009E0E8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7D1"/>
    <w:rsid w:val="00A21D0E"/>
    <w:rsid w:val="00A23052"/>
    <w:rsid w:val="00A231EE"/>
    <w:rsid w:val="00A23C64"/>
    <w:rsid w:val="00A244B0"/>
    <w:rsid w:val="00A247F2"/>
    <w:rsid w:val="00A27292"/>
    <w:rsid w:val="00A31221"/>
    <w:rsid w:val="00A312C4"/>
    <w:rsid w:val="00A32E6B"/>
    <w:rsid w:val="00A33BEE"/>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97F"/>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602"/>
    <w:rsid w:val="00AF3C02"/>
    <w:rsid w:val="00AF56B1"/>
    <w:rsid w:val="00AF5E5F"/>
    <w:rsid w:val="00AF6824"/>
    <w:rsid w:val="00AF6EDE"/>
    <w:rsid w:val="00B00802"/>
    <w:rsid w:val="00B00968"/>
    <w:rsid w:val="00B0099C"/>
    <w:rsid w:val="00B01A99"/>
    <w:rsid w:val="00B01DFC"/>
    <w:rsid w:val="00B0276A"/>
    <w:rsid w:val="00B03191"/>
    <w:rsid w:val="00B0336C"/>
    <w:rsid w:val="00B03630"/>
    <w:rsid w:val="00B03DD8"/>
    <w:rsid w:val="00B04BE4"/>
    <w:rsid w:val="00B06552"/>
    <w:rsid w:val="00B1061F"/>
    <w:rsid w:val="00B11439"/>
    <w:rsid w:val="00B12288"/>
    <w:rsid w:val="00B15641"/>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EA9"/>
    <w:rsid w:val="00B361A5"/>
    <w:rsid w:val="00B36519"/>
    <w:rsid w:val="00B36A8A"/>
    <w:rsid w:val="00B4103C"/>
    <w:rsid w:val="00B43970"/>
    <w:rsid w:val="00B45FAB"/>
    <w:rsid w:val="00B517C1"/>
    <w:rsid w:val="00B52731"/>
    <w:rsid w:val="00B52C0E"/>
    <w:rsid w:val="00B5331C"/>
    <w:rsid w:val="00B54622"/>
    <w:rsid w:val="00B549B6"/>
    <w:rsid w:val="00B572C8"/>
    <w:rsid w:val="00B575FB"/>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7E0"/>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451"/>
    <w:rsid w:val="00BF3FCC"/>
    <w:rsid w:val="00BF466D"/>
    <w:rsid w:val="00BF7EE7"/>
    <w:rsid w:val="00C0264A"/>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32F"/>
    <w:rsid w:val="00C364AB"/>
    <w:rsid w:val="00C37636"/>
    <w:rsid w:val="00C37C1B"/>
    <w:rsid w:val="00C37D63"/>
    <w:rsid w:val="00C41084"/>
    <w:rsid w:val="00C428D2"/>
    <w:rsid w:val="00C43AD6"/>
    <w:rsid w:val="00C45747"/>
    <w:rsid w:val="00C477B9"/>
    <w:rsid w:val="00C51887"/>
    <w:rsid w:val="00C52D87"/>
    <w:rsid w:val="00C52DBF"/>
    <w:rsid w:val="00C542D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408D"/>
    <w:rsid w:val="00CA54E0"/>
    <w:rsid w:val="00CA5CC6"/>
    <w:rsid w:val="00CB253F"/>
    <w:rsid w:val="00CB2D98"/>
    <w:rsid w:val="00CB2F8A"/>
    <w:rsid w:val="00CB7A6B"/>
    <w:rsid w:val="00CC2FFE"/>
    <w:rsid w:val="00CC3103"/>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C7C"/>
    <w:rsid w:val="00CF6E62"/>
    <w:rsid w:val="00D003D7"/>
    <w:rsid w:val="00D018CC"/>
    <w:rsid w:val="00D06F34"/>
    <w:rsid w:val="00D10E6A"/>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3C41"/>
    <w:rsid w:val="00D74C98"/>
    <w:rsid w:val="00D803CE"/>
    <w:rsid w:val="00D80BF5"/>
    <w:rsid w:val="00D81ADE"/>
    <w:rsid w:val="00D8327A"/>
    <w:rsid w:val="00D848D6"/>
    <w:rsid w:val="00D857A1"/>
    <w:rsid w:val="00D8766A"/>
    <w:rsid w:val="00D909C5"/>
    <w:rsid w:val="00D912F4"/>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8C5"/>
    <w:rsid w:val="00DD3EA9"/>
    <w:rsid w:val="00DD77C8"/>
    <w:rsid w:val="00DE0082"/>
    <w:rsid w:val="00DE1323"/>
    <w:rsid w:val="00DE728B"/>
    <w:rsid w:val="00DE734C"/>
    <w:rsid w:val="00DE7F6C"/>
    <w:rsid w:val="00DF0A82"/>
    <w:rsid w:val="00DF135B"/>
    <w:rsid w:val="00DF1EA7"/>
    <w:rsid w:val="00DF1FB5"/>
    <w:rsid w:val="00DF29B4"/>
    <w:rsid w:val="00DF3D99"/>
    <w:rsid w:val="00DF4290"/>
    <w:rsid w:val="00DF5402"/>
    <w:rsid w:val="00DF7EC9"/>
    <w:rsid w:val="00E00405"/>
    <w:rsid w:val="00E012D8"/>
    <w:rsid w:val="00E01798"/>
    <w:rsid w:val="00E01D98"/>
    <w:rsid w:val="00E01E13"/>
    <w:rsid w:val="00E044CB"/>
    <w:rsid w:val="00E04F3C"/>
    <w:rsid w:val="00E06A09"/>
    <w:rsid w:val="00E071FA"/>
    <w:rsid w:val="00E112EE"/>
    <w:rsid w:val="00E13BD1"/>
    <w:rsid w:val="00E13D12"/>
    <w:rsid w:val="00E16BEC"/>
    <w:rsid w:val="00E203E1"/>
    <w:rsid w:val="00E213CF"/>
    <w:rsid w:val="00E2412D"/>
    <w:rsid w:val="00E254FA"/>
    <w:rsid w:val="00E25CCB"/>
    <w:rsid w:val="00E26DA9"/>
    <w:rsid w:val="00E27B6C"/>
    <w:rsid w:val="00E30521"/>
    <w:rsid w:val="00E31484"/>
    <w:rsid w:val="00E31FD9"/>
    <w:rsid w:val="00E328B5"/>
    <w:rsid w:val="00E330CE"/>
    <w:rsid w:val="00E33D1A"/>
    <w:rsid w:val="00E341DD"/>
    <w:rsid w:val="00E367E5"/>
    <w:rsid w:val="00E37457"/>
    <w:rsid w:val="00E4179E"/>
    <w:rsid w:val="00E42651"/>
    <w:rsid w:val="00E44745"/>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610A"/>
    <w:rsid w:val="00E6710A"/>
    <w:rsid w:val="00E714D0"/>
    <w:rsid w:val="00E83B43"/>
    <w:rsid w:val="00E83BF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3923"/>
    <w:rsid w:val="00EF5E75"/>
    <w:rsid w:val="00EF656F"/>
    <w:rsid w:val="00F033B4"/>
    <w:rsid w:val="00F04367"/>
    <w:rsid w:val="00F04618"/>
    <w:rsid w:val="00F04D02"/>
    <w:rsid w:val="00F11995"/>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0576"/>
    <w:rsid w:val="00F5125C"/>
    <w:rsid w:val="00F51A2F"/>
    <w:rsid w:val="00F523EB"/>
    <w:rsid w:val="00F52B97"/>
    <w:rsid w:val="00F603AD"/>
    <w:rsid w:val="00F6058F"/>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B19"/>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DE49FCD"/>
  <w14:defaultImageDpi w14:val="300"/>
  <w15:docId w15:val="{97284D45-D321-4F02-8A10-2A24F892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C597F"/>
    <w:pPr>
      <w:keepNext/>
      <w:spacing w:before="240" w:after="60"/>
      <w:outlineLvl w:val="1"/>
    </w:pPr>
    <w:rPr>
      <w:rFonts w:ascii="Arial Bold" w:hAnsi="Arial Bold" w:cs="Arial"/>
      <w:b/>
      <w:bCs/>
      <w:iCs/>
      <w:sz w:val="24"/>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character" w:styleId="Hyperlink">
    <w:name w:val="Hyperlink"/>
    <w:basedOn w:val="DefaultParagraphFont"/>
    <w:uiPriority w:val="99"/>
    <w:unhideWhenUsed/>
    <w:rsid w:val="00DF0A82"/>
    <w:rPr>
      <w:color w:val="0000FF"/>
      <w:u w:val="single"/>
    </w:rPr>
  </w:style>
  <w:style w:type="paragraph" w:styleId="ListParagraph">
    <w:name w:val="List Paragraph"/>
    <w:basedOn w:val="Normal"/>
    <w:uiPriority w:val="72"/>
    <w:qFormat/>
    <w:rsid w:val="00DF0A82"/>
    <w:pPr>
      <w:ind w:left="720"/>
      <w:contextualSpacing/>
    </w:pPr>
  </w:style>
  <w:style w:type="character" w:styleId="CommentReference">
    <w:name w:val="annotation reference"/>
    <w:basedOn w:val="DefaultParagraphFont"/>
    <w:semiHidden/>
    <w:unhideWhenUsed/>
    <w:rsid w:val="00DF0A82"/>
    <w:rPr>
      <w:sz w:val="16"/>
      <w:szCs w:val="16"/>
    </w:rPr>
  </w:style>
  <w:style w:type="paragraph" w:styleId="CommentText">
    <w:name w:val="annotation text"/>
    <w:basedOn w:val="Normal"/>
    <w:link w:val="CommentTextChar"/>
    <w:unhideWhenUsed/>
    <w:rsid w:val="00DF0A82"/>
    <w:rPr>
      <w:sz w:val="20"/>
      <w:szCs w:val="20"/>
    </w:rPr>
  </w:style>
  <w:style w:type="character" w:customStyle="1" w:styleId="CommentTextChar">
    <w:name w:val="Comment Text Char"/>
    <w:basedOn w:val="DefaultParagraphFont"/>
    <w:link w:val="CommentText"/>
    <w:rsid w:val="00DF0A82"/>
    <w:rPr>
      <w:rFonts w:ascii="Arial" w:hAnsi="Arial"/>
    </w:rPr>
  </w:style>
  <w:style w:type="paragraph" w:styleId="BalloonText">
    <w:name w:val="Balloon Text"/>
    <w:basedOn w:val="Normal"/>
    <w:link w:val="BalloonTextChar"/>
    <w:semiHidden/>
    <w:unhideWhenUsed/>
    <w:rsid w:val="00DF0A8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F0A82"/>
    <w:rPr>
      <w:rFonts w:ascii="Segoe UI" w:hAnsi="Segoe UI" w:cs="Segoe UI"/>
      <w:sz w:val="18"/>
      <w:szCs w:val="18"/>
    </w:rPr>
  </w:style>
  <w:style w:type="character" w:customStyle="1" w:styleId="FooterChar">
    <w:name w:val="Footer Char"/>
    <w:basedOn w:val="DefaultParagraphFont"/>
    <w:link w:val="Footer"/>
    <w:uiPriority w:val="99"/>
    <w:rsid w:val="0080694B"/>
    <w:rPr>
      <w:rFonts w:ascii="Arial" w:hAnsi="Arial"/>
      <w:sz w:val="22"/>
      <w:szCs w:val="24"/>
    </w:rPr>
  </w:style>
  <w:style w:type="paragraph" w:styleId="CommentSubject">
    <w:name w:val="annotation subject"/>
    <w:basedOn w:val="CommentText"/>
    <w:next w:val="CommentText"/>
    <w:link w:val="CommentSubjectChar"/>
    <w:semiHidden/>
    <w:unhideWhenUsed/>
    <w:rsid w:val="001C0A47"/>
    <w:rPr>
      <w:b/>
      <w:bCs/>
    </w:rPr>
  </w:style>
  <w:style w:type="character" w:customStyle="1" w:styleId="CommentSubjectChar">
    <w:name w:val="Comment Subject Char"/>
    <w:basedOn w:val="CommentTextChar"/>
    <w:link w:val="CommentSubject"/>
    <w:semiHidden/>
    <w:rsid w:val="001C0A47"/>
    <w:rPr>
      <w:rFonts w:ascii="Arial" w:hAnsi="Arial"/>
      <w:b/>
      <w:bCs/>
    </w:rPr>
  </w:style>
  <w:style w:type="character" w:styleId="FollowedHyperlink">
    <w:name w:val="FollowedHyperlink"/>
    <w:basedOn w:val="DefaultParagraphFont"/>
    <w:rsid w:val="00850114"/>
    <w:rPr>
      <w:color w:val="800080" w:themeColor="followedHyperlink"/>
      <w:u w:val="single"/>
    </w:rPr>
  </w:style>
  <w:style w:type="paragraph" w:styleId="Revision">
    <w:name w:val="Revision"/>
    <w:hidden/>
    <w:uiPriority w:val="71"/>
    <w:semiHidden/>
    <w:rsid w:val="00090B2C"/>
    <w:rPr>
      <w:rFonts w:ascii="Arial" w:hAnsi="Arial"/>
      <w:sz w:val="22"/>
      <w:szCs w:val="24"/>
    </w:rPr>
  </w:style>
  <w:style w:type="character" w:styleId="UnresolvedMention">
    <w:name w:val="Unresolved Mention"/>
    <w:basedOn w:val="DefaultParagraphFont"/>
    <w:uiPriority w:val="99"/>
    <w:semiHidden/>
    <w:unhideWhenUsed/>
    <w:rsid w:val="00535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umanservices.gov.au/individuals/services/centrelink/health-care-car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bs.gov.au/info/about-the-pbs" TargetMode="External"/><Relationship Id="rId17" Type="http://schemas.openxmlformats.org/officeDocument/2006/relationships/hyperlink" Target="https://cyjmaintranet.root.internal/finance-procurement/financial-delegations" TargetMode="External"/><Relationship Id="rId2" Type="http://schemas.openxmlformats.org/officeDocument/2006/relationships/styles" Target="styles.xml"/><Relationship Id="rId16" Type="http://schemas.openxmlformats.org/officeDocument/2006/relationships/hyperlink" Target="https://www.health.qld.gov.au/oralhealth/services/scho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qld.gov.au/services" TargetMode="External"/><Relationship Id="rId5" Type="http://schemas.openxmlformats.org/officeDocument/2006/relationships/footnotes" Target="footnotes.xml"/><Relationship Id="rId15" Type="http://schemas.openxmlformats.org/officeDocument/2006/relationships/hyperlink" Target="http://www.ndis.gov.au" TargetMode="External"/><Relationship Id="rId10" Type="http://schemas.openxmlformats.org/officeDocument/2006/relationships/hyperlink" Target="http://www.health.qld.gov.au/ma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umanservices.gov.au/individuals/medicare" TargetMode="External"/><Relationship Id="rId14" Type="http://schemas.openxmlformats.org/officeDocument/2006/relationships/hyperlink" Target="https://www.mydr.com.au/kids-teens-health/vaccination-australian-standard-vaccination-schedu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2056</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Operational Procedure</vt:lpstr>
    </vt:vector>
  </TitlesOfParts>
  <Manager>Department of Children, Youth Justice and Multicultural Affairs</Manager>
  <Company>Queensland Government</Company>
  <LinksUpToDate>false</LinksUpToDate>
  <CharactersWithSpaces>14355</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Procedure</dc:title>
  <dc:subject>online templates</dc:subject>
  <dc:creator>Queensland Government</dc:creator>
  <cp:keywords>procedure, corporate, executive, template, A4, portrait</cp:keywords>
  <cp:lastModifiedBy>Eloise Eggleton</cp:lastModifiedBy>
  <cp:revision>5</cp:revision>
  <cp:lastPrinted>2023-11-02T01:29:00Z</cp:lastPrinted>
  <dcterms:created xsi:type="dcterms:W3CDTF">2023-11-02T01:30:00Z</dcterms:created>
  <dcterms:modified xsi:type="dcterms:W3CDTF">2024-02-28T01:53:00Z</dcterms:modified>
  <cp:category>procedure</cp:category>
</cp:coreProperties>
</file>