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281240D" w:rsidR="005C092E" w:rsidRDefault="005C092E" w:rsidP="005F0FB2">
      <w:pPr>
        <w:pStyle w:val="Title"/>
      </w:pPr>
    </w:p>
    <w:p w14:paraId="7A9D3249" w14:textId="77777777" w:rsidR="005C092E" w:rsidRDefault="005C092E" w:rsidP="005F0FB2">
      <w:pPr>
        <w:pStyle w:val="Title"/>
      </w:pPr>
    </w:p>
    <w:p w14:paraId="2DA0EEC8" w14:textId="77777777" w:rsidR="005C092E" w:rsidRDefault="005C092E" w:rsidP="005C092E"/>
    <w:p w14:paraId="11F54C05" w14:textId="77777777" w:rsidR="005C092E" w:rsidRPr="00F41A66" w:rsidRDefault="005C092E" w:rsidP="005C092E"/>
    <w:p w14:paraId="0A721BBC" w14:textId="77777777" w:rsidR="005C092E" w:rsidRPr="00F41A66" w:rsidRDefault="005C092E" w:rsidP="005C092E"/>
    <w:p w14:paraId="7132DB8C" w14:textId="77777777" w:rsidR="00F41A66" w:rsidRPr="00F41A66" w:rsidRDefault="00F41A66" w:rsidP="00F41A66">
      <w:pPr>
        <w:pStyle w:val="Title"/>
        <w:spacing w:after="0"/>
        <w:rPr>
          <w:color w:val="auto"/>
        </w:rPr>
      </w:pPr>
      <w:r w:rsidRPr="00F41A66">
        <w:rPr>
          <w:color w:val="auto"/>
        </w:rPr>
        <w:t>Truth, Healing and Reconciliation Taskforce</w:t>
      </w:r>
    </w:p>
    <w:p w14:paraId="471D8365" w14:textId="77777777" w:rsidR="00F41A66" w:rsidRPr="00F41A66" w:rsidRDefault="00F41A66" w:rsidP="00F41A66">
      <w:pPr>
        <w:spacing w:after="0" w:line="240" w:lineRule="auto"/>
      </w:pPr>
    </w:p>
    <w:p w14:paraId="52468525" w14:textId="77777777" w:rsidR="00F41A66" w:rsidRPr="00F41A66" w:rsidRDefault="00F41A66" w:rsidP="00F41A66">
      <w:pPr>
        <w:spacing w:after="0" w:line="240" w:lineRule="auto"/>
      </w:pPr>
    </w:p>
    <w:p w14:paraId="766EB2E8" w14:textId="77777777" w:rsidR="00F41A66" w:rsidRPr="00F41A66" w:rsidRDefault="00F41A66" w:rsidP="00F41A66">
      <w:pPr>
        <w:spacing w:after="0" w:line="240" w:lineRule="auto"/>
      </w:pPr>
    </w:p>
    <w:p w14:paraId="0FD25FA7" w14:textId="77777777" w:rsidR="00F41A66" w:rsidRPr="00F41A66" w:rsidRDefault="00F41A66" w:rsidP="00F41A66">
      <w:pPr>
        <w:spacing w:after="0" w:line="240" w:lineRule="auto"/>
      </w:pPr>
    </w:p>
    <w:p w14:paraId="14AC3667" w14:textId="77777777" w:rsidR="00F41A66" w:rsidRPr="00F41A66" w:rsidRDefault="00F41A66" w:rsidP="00F41A66">
      <w:pPr>
        <w:spacing w:after="0" w:line="240" w:lineRule="auto"/>
      </w:pPr>
    </w:p>
    <w:p w14:paraId="2DAFD1C1" w14:textId="77777777" w:rsidR="00F41A66" w:rsidRPr="00F41A66" w:rsidRDefault="00F41A66" w:rsidP="00F41A66">
      <w:pPr>
        <w:spacing w:after="0" w:line="240" w:lineRule="auto"/>
      </w:pPr>
    </w:p>
    <w:p w14:paraId="4D0EA5C4" w14:textId="77777777" w:rsidR="00F41A66" w:rsidRPr="00F41A66" w:rsidRDefault="00F41A66" w:rsidP="00F41A66">
      <w:pPr>
        <w:spacing w:after="0" w:line="240" w:lineRule="auto"/>
      </w:pPr>
    </w:p>
    <w:p w14:paraId="45FA2313" w14:textId="77777777" w:rsidR="00F41A66" w:rsidRPr="00F41A66" w:rsidRDefault="00F41A66" w:rsidP="00F41A66">
      <w:pPr>
        <w:spacing w:after="0" w:line="240" w:lineRule="auto"/>
      </w:pPr>
    </w:p>
    <w:p w14:paraId="282065B2" w14:textId="77777777" w:rsidR="00F41A66" w:rsidRPr="00F41A66" w:rsidRDefault="00F41A66" w:rsidP="00F41A66">
      <w:pPr>
        <w:spacing w:after="0" w:line="240" w:lineRule="auto"/>
      </w:pPr>
    </w:p>
    <w:p w14:paraId="7DEA36AD" w14:textId="77777777" w:rsidR="00F41A66" w:rsidRPr="00F41A66" w:rsidRDefault="00F41A66" w:rsidP="00F41A66">
      <w:pPr>
        <w:spacing w:after="0" w:line="240" w:lineRule="auto"/>
      </w:pPr>
    </w:p>
    <w:p w14:paraId="1D4082F6" w14:textId="77777777" w:rsidR="00F41A66" w:rsidRPr="00F41A66" w:rsidRDefault="00F41A66" w:rsidP="00F41A66">
      <w:pPr>
        <w:pStyle w:val="Subtitle"/>
        <w:spacing w:after="0"/>
        <w:rPr>
          <w:color w:val="auto"/>
        </w:rPr>
      </w:pPr>
      <w:r w:rsidRPr="00F41A66">
        <w:rPr>
          <w:color w:val="auto"/>
        </w:rPr>
        <w:t>Terms of Reference</w:t>
      </w:r>
    </w:p>
    <w:p w14:paraId="4EECD170" w14:textId="77777777" w:rsidR="00F41A66" w:rsidRPr="00F41A66" w:rsidRDefault="00F41A66" w:rsidP="00F41A66">
      <w:pPr>
        <w:spacing w:after="0" w:line="240" w:lineRule="auto"/>
      </w:pPr>
    </w:p>
    <w:p w14:paraId="6E2B86C2" w14:textId="32DDCB64" w:rsidR="00F41A66" w:rsidRPr="00FC375B" w:rsidRDefault="00CC59B0" w:rsidP="00F41A66">
      <w:pPr>
        <w:spacing w:after="0" w:line="240" w:lineRule="auto"/>
        <w:rPr>
          <w:i/>
          <w:iCs/>
        </w:rPr>
      </w:pPr>
      <w:r>
        <w:rPr>
          <w:i/>
          <w:iCs/>
        </w:rPr>
        <w:t>A</w:t>
      </w:r>
      <w:r w:rsidR="00FC375B" w:rsidRPr="00FC375B">
        <w:rPr>
          <w:i/>
          <w:iCs/>
        </w:rPr>
        <w:t xml:space="preserve">mended </w:t>
      </w:r>
      <w:r w:rsidR="00294E29">
        <w:rPr>
          <w:i/>
          <w:iCs/>
        </w:rPr>
        <w:t>15</w:t>
      </w:r>
      <w:r w:rsidR="00FC375B" w:rsidRPr="00FC375B">
        <w:rPr>
          <w:i/>
          <w:iCs/>
        </w:rPr>
        <w:t xml:space="preserve"> February 2023</w:t>
      </w:r>
    </w:p>
    <w:p w14:paraId="16DDAED9" w14:textId="77777777" w:rsidR="00F41A66" w:rsidRPr="00FC375B" w:rsidRDefault="00F41A66" w:rsidP="00F41A66">
      <w:pPr>
        <w:spacing w:after="0" w:line="240" w:lineRule="auto"/>
        <w:rPr>
          <w:i/>
          <w:iCs/>
        </w:rPr>
      </w:pPr>
    </w:p>
    <w:p w14:paraId="518983BD" w14:textId="77777777" w:rsidR="00F41A66" w:rsidRPr="00F41A66" w:rsidRDefault="00F41A66" w:rsidP="00F41A66">
      <w:pPr>
        <w:spacing w:after="0" w:line="240" w:lineRule="auto"/>
      </w:pPr>
    </w:p>
    <w:p w14:paraId="238FB963" w14:textId="77777777" w:rsidR="00F41A66" w:rsidRPr="00F41A66" w:rsidRDefault="00F41A66" w:rsidP="00F41A66">
      <w:pPr>
        <w:spacing w:after="0" w:line="240" w:lineRule="auto"/>
      </w:pPr>
    </w:p>
    <w:p w14:paraId="5BC7C8A1" w14:textId="77777777" w:rsidR="00F41A66" w:rsidRPr="00F41A66" w:rsidRDefault="00F41A66" w:rsidP="00F41A66">
      <w:pPr>
        <w:spacing w:after="0" w:line="240" w:lineRule="auto"/>
      </w:pPr>
    </w:p>
    <w:p w14:paraId="3DF9C1BA" w14:textId="77777777" w:rsidR="00F41A66" w:rsidRPr="00F41A66" w:rsidRDefault="00F41A66" w:rsidP="00F41A66">
      <w:pPr>
        <w:spacing w:after="0" w:line="240" w:lineRule="auto"/>
      </w:pPr>
    </w:p>
    <w:p w14:paraId="71BB2A3E" w14:textId="01D07B79" w:rsidR="00FC375B" w:rsidRPr="00CC59B0" w:rsidRDefault="00F41A66" w:rsidP="00F41A66">
      <w:pPr>
        <w:spacing w:after="0" w:line="240" w:lineRule="auto"/>
        <w:rPr>
          <w:rFonts w:eastAsiaTheme="majorEastAsia" w:cstheme="majorBidi"/>
          <w:b/>
          <w:bCs/>
          <w:sz w:val="32"/>
          <w:szCs w:val="32"/>
        </w:rPr>
      </w:pPr>
      <w:r w:rsidRPr="00F41A66">
        <w:br w:type="page"/>
      </w:r>
      <w:r w:rsidR="00FC375B">
        <w:rPr>
          <w:b/>
          <w:bCs/>
          <w:sz w:val="28"/>
          <w:szCs w:val="28"/>
        </w:rPr>
        <w:lastRenderedPageBreak/>
        <w:t>Background</w:t>
      </w:r>
    </w:p>
    <w:p w14:paraId="1928BC08" w14:textId="4A106338" w:rsidR="00FC375B" w:rsidRDefault="00F41A66" w:rsidP="00F41A66">
      <w:pPr>
        <w:spacing w:after="0" w:line="240" w:lineRule="auto"/>
      </w:pPr>
      <w:r w:rsidRPr="00D9026E">
        <w:t>In 2017,</w:t>
      </w:r>
      <w:r w:rsidRPr="00FF6019">
        <w:t xml:space="preserve"> the Premier </w:t>
      </w:r>
      <w:r w:rsidRPr="00D9026E">
        <w:t xml:space="preserve">and </w:t>
      </w:r>
      <w:r w:rsidR="002C7933">
        <w:t xml:space="preserve">then </w:t>
      </w:r>
      <w:r w:rsidRPr="00D9026E">
        <w:t>Minister for Trade</w:t>
      </w:r>
      <w:r w:rsidR="002C7933">
        <w:t>, now Premier and Minister for Olympics</w:t>
      </w:r>
      <w:r>
        <w:t xml:space="preserve"> </w:t>
      </w:r>
      <w:r w:rsidR="00CD7756">
        <w:t xml:space="preserve">and Paralympic Games </w:t>
      </w:r>
      <w:r>
        <w:t>(the Premier)</w:t>
      </w:r>
      <w:r w:rsidRPr="00FF6019">
        <w:t xml:space="preserve"> committed to establish a Truth, Healing and Reconciliation Taskforce. </w:t>
      </w:r>
    </w:p>
    <w:p w14:paraId="18587CAA" w14:textId="77777777" w:rsidR="00FC375B" w:rsidRPr="00FC375B" w:rsidRDefault="00FC375B" w:rsidP="00F41A66">
      <w:pPr>
        <w:spacing w:after="0" w:line="240" w:lineRule="auto"/>
        <w:rPr>
          <w:rFonts w:cs="Arial"/>
        </w:rPr>
      </w:pPr>
    </w:p>
    <w:p w14:paraId="3372A655" w14:textId="78CEEA8F" w:rsidR="00FC375B" w:rsidRPr="00FC375B" w:rsidRDefault="00FC375B" w:rsidP="00F41A66">
      <w:pPr>
        <w:spacing w:after="0" w:line="240" w:lineRule="auto"/>
        <w:rPr>
          <w:rFonts w:cs="Arial"/>
        </w:rPr>
      </w:pPr>
      <w:r w:rsidRPr="00FC375B">
        <w:rPr>
          <w:rFonts w:cs="Arial"/>
        </w:rPr>
        <w:t>The Taskforce was established from September 2018 to:</w:t>
      </w:r>
    </w:p>
    <w:p w14:paraId="4CCB8649" w14:textId="77892F04" w:rsidR="00F41A66" w:rsidRPr="00FC375B" w:rsidRDefault="00F41A66" w:rsidP="00FC375B">
      <w:pPr>
        <w:pStyle w:val="ListParagraph"/>
        <w:numPr>
          <w:ilvl w:val="0"/>
          <w:numId w:val="8"/>
        </w:numPr>
        <w:spacing w:after="0" w:line="240" w:lineRule="auto"/>
        <w:rPr>
          <w:rFonts w:ascii="Arial" w:hAnsi="Arial" w:cs="Arial"/>
        </w:rPr>
      </w:pPr>
      <w:r w:rsidRPr="00FC375B">
        <w:rPr>
          <w:rFonts w:ascii="Arial" w:hAnsi="Arial" w:cs="Arial"/>
        </w:rPr>
        <w:t>provide for the views of those who have experienced institutional child abuse, support services and organisations in advice to Government on implementing the reforms arising from the Royal Commission into Institutional Responses to Child Sexual Abuse (the Royal Commission).</w:t>
      </w:r>
    </w:p>
    <w:p w14:paraId="04FBF600" w14:textId="3C25A23A" w:rsidR="00F41A66" w:rsidRPr="00FC375B" w:rsidRDefault="00F41A66" w:rsidP="00FC375B">
      <w:pPr>
        <w:pStyle w:val="ListParagraph"/>
        <w:numPr>
          <w:ilvl w:val="0"/>
          <w:numId w:val="8"/>
        </w:numPr>
        <w:spacing w:after="0" w:line="240" w:lineRule="auto"/>
        <w:rPr>
          <w:rFonts w:ascii="Arial" w:hAnsi="Arial" w:cs="Arial"/>
        </w:rPr>
      </w:pPr>
      <w:r w:rsidRPr="00FC375B">
        <w:rPr>
          <w:rFonts w:ascii="Arial" w:hAnsi="Arial" w:cs="Arial"/>
        </w:rPr>
        <w:t xml:space="preserve">report to the Minister for Children and Youth Justice and Minister for Multicultural Affairs (the Minister) </w:t>
      </w:r>
      <w:r w:rsidR="00FC375B">
        <w:rPr>
          <w:rFonts w:ascii="Arial" w:hAnsi="Arial" w:cs="Arial"/>
        </w:rPr>
        <w:t xml:space="preserve">with annual reporting to </w:t>
      </w:r>
      <w:r w:rsidRPr="00FC375B">
        <w:rPr>
          <w:rFonts w:ascii="Arial" w:hAnsi="Arial" w:cs="Arial"/>
        </w:rPr>
        <w:t>coincide with the period of annual reporting as recommended by the Royal Commission.</w:t>
      </w:r>
    </w:p>
    <w:p w14:paraId="604850BA" w14:textId="77777777" w:rsidR="00FC375B" w:rsidRDefault="00FC375B" w:rsidP="00FC375B">
      <w:pPr>
        <w:spacing w:after="0" w:line="240" w:lineRule="auto"/>
      </w:pPr>
    </w:p>
    <w:p w14:paraId="0627A052" w14:textId="6A7937D5" w:rsidR="00FC375B" w:rsidRDefault="00FC375B" w:rsidP="00FC375B">
      <w:pPr>
        <w:spacing w:after="0" w:line="240" w:lineRule="auto"/>
      </w:pPr>
      <w:r>
        <w:t xml:space="preserve">Since establishment, the Taskforce has been extended </w:t>
      </w:r>
      <w:r w:rsidR="003341A0">
        <w:t>twice</w:t>
      </w:r>
      <w:r w:rsidRPr="005E1A5A">
        <w:rPr>
          <w:b/>
          <w:bCs/>
        </w:rPr>
        <w:t>,</w:t>
      </w:r>
      <w:r>
        <w:t xml:space="preserve"> with Terms of Reference amended as per </w:t>
      </w:r>
      <w:r w:rsidRPr="00FC375B">
        <w:rPr>
          <w:b/>
          <w:bCs/>
        </w:rPr>
        <w:t xml:space="preserve">Schedule </w:t>
      </w:r>
      <w:r w:rsidR="003341A0">
        <w:rPr>
          <w:b/>
          <w:bCs/>
        </w:rPr>
        <w:t>1</w:t>
      </w:r>
      <w:r w:rsidR="005E1A5A">
        <w:rPr>
          <w:b/>
          <w:bCs/>
        </w:rPr>
        <w:t>.</w:t>
      </w:r>
      <w:r>
        <w:t xml:space="preserve"> </w:t>
      </w:r>
    </w:p>
    <w:p w14:paraId="7BF4B57B" w14:textId="77777777" w:rsidR="00FC375B" w:rsidRDefault="00FC375B" w:rsidP="00FC375B">
      <w:pPr>
        <w:spacing w:after="0" w:line="240" w:lineRule="auto"/>
      </w:pPr>
    </w:p>
    <w:p w14:paraId="713D96C2" w14:textId="25990F82" w:rsidR="00FC375B" w:rsidRPr="00771901" w:rsidRDefault="00FC375B" w:rsidP="00FC375B">
      <w:pPr>
        <w:spacing w:after="0" w:line="240" w:lineRule="auto"/>
      </w:pPr>
      <w:r w:rsidRPr="00771901">
        <w:t xml:space="preserve">A secretariat within the Department of </w:t>
      </w:r>
      <w:r>
        <w:t xml:space="preserve">Children, Youth Justice and Multicultural Affairs </w:t>
      </w:r>
      <w:r w:rsidRPr="00771901">
        <w:t>w</w:t>
      </w:r>
      <w:r>
        <w:t xml:space="preserve">as established to </w:t>
      </w:r>
      <w:r w:rsidRPr="00771901">
        <w:t>support the Taskforce in performing its functions.</w:t>
      </w:r>
    </w:p>
    <w:p w14:paraId="4F518974" w14:textId="061314EA" w:rsidR="00320927" w:rsidRDefault="00320927" w:rsidP="00F41A66">
      <w:pPr>
        <w:spacing w:after="0" w:line="240" w:lineRule="auto"/>
      </w:pPr>
    </w:p>
    <w:p w14:paraId="6E26C020" w14:textId="77777777" w:rsidR="00F41A66" w:rsidRPr="00771901" w:rsidRDefault="00F41A66" w:rsidP="00F41A66">
      <w:pPr>
        <w:pStyle w:val="Heading2"/>
        <w:spacing w:before="0"/>
      </w:pPr>
      <w:r w:rsidRPr="00771901">
        <w:t>Functions</w:t>
      </w:r>
    </w:p>
    <w:p w14:paraId="682C6CCC" w14:textId="2441D945" w:rsidR="00F41A66" w:rsidRPr="00771901" w:rsidRDefault="00F41A66" w:rsidP="00F41A66">
      <w:pPr>
        <w:spacing w:after="0" w:line="240" w:lineRule="auto"/>
      </w:pPr>
      <w:r w:rsidRPr="00771901">
        <w:t xml:space="preserve">The Taskforce </w:t>
      </w:r>
      <w:r w:rsidR="00FC375B">
        <w:t xml:space="preserve">has </w:t>
      </w:r>
      <w:r w:rsidRPr="00771901">
        <w:t xml:space="preserve">the following </w:t>
      </w:r>
      <w:r w:rsidR="00982F82">
        <w:t xml:space="preserve">three </w:t>
      </w:r>
      <w:r w:rsidRPr="00771901">
        <w:t>core functions:</w:t>
      </w:r>
    </w:p>
    <w:p w14:paraId="0B56CE8A" w14:textId="77777777" w:rsidR="00F41A66" w:rsidRPr="00771901" w:rsidRDefault="00F41A66" w:rsidP="00F41A66">
      <w:pPr>
        <w:pStyle w:val="ListParagraph"/>
        <w:numPr>
          <w:ilvl w:val="0"/>
          <w:numId w:val="1"/>
        </w:numPr>
        <w:spacing w:after="0" w:line="240" w:lineRule="auto"/>
        <w:rPr>
          <w:rFonts w:ascii="Arial" w:hAnsi="Arial" w:cs="Arial"/>
        </w:rPr>
      </w:pPr>
      <w:r w:rsidRPr="00771901">
        <w:rPr>
          <w:rFonts w:ascii="Arial" w:hAnsi="Arial" w:cs="Arial"/>
        </w:rPr>
        <w:t>Receiving briefings and providing comment on agency annual update reports prior to their tabling.</w:t>
      </w:r>
    </w:p>
    <w:p w14:paraId="1C3E4459" w14:textId="77777777" w:rsidR="00F41A66" w:rsidRPr="00771901" w:rsidRDefault="00F41A66" w:rsidP="00F41A66">
      <w:pPr>
        <w:pStyle w:val="ListParagraph"/>
        <w:numPr>
          <w:ilvl w:val="0"/>
          <w:numId w:val="1"/>
        </w:numPr>
        <w:spacing w:after="0" w:line="240" w:lineRule="auto"/>
        <w:rPr>
          <w:rFonts w:ascii="Arial" w:hAnsi="Arial" w:cs="Arial"/>
        </w:rPr>
      </w:pPr>
      <w:r w:rsidRPr="00771901">
        <w:rPr>
          <w:rFonts w:ascii="Arial" w:hAnsi="Arial" w:cs="Arial"/>
        </w:rPr>
        <w:t>Liaising through lead Ministers with relevant stakeholder groups, and/or with other individuals and groups, where appropriate.</w:t>
      </w:r>
    </w:p>
    <w:p w14:paraId="1BD0D75C" w14:textId="77777777" w:rsidR="00F41A66" w:rsidRPr="00771901" w:rsidRDefault="00F41A66" w:rsidP="00F41A66">
      <w:pPr>
        <w:pStyle w:val="ListParagraph"/>
        <w:numPr>
          <w:ilvl w:val="0"/>
          <w:numId w:val="1"/>
        </w:numPr>
        <w:spacing w:after="0" w:line="240" w:lineRule="auto"/>
        <w:rPr>
          <w:rFonts w:ascii="Arial" w:hAnsi="Arial" w:cs="Arial"/>
        </w:rPr>
      </w:pPr>
      <w:r w:rsidRPr="00771901">
        <w:rPr>
          <w:rFonts w:ascii="Arial" w:hAnsi="Arial" w:cs="Arial"/>
        </w:rPr>
        <w:t>Providing advice as requested on the following reform issues:</w:t>
      </w:r>
    </w:p>
    <w:p w14:paraId="35E2B3C6" w14:textId="77777777" w:rsidR="00F41A66" w:rsidRPr="007F4EFE" w:rsidRDefault="00F41A66" w:rsidP="00FC375B">
      <w:pPr>
        <w:pStyle w:val="ListParagraph"/>
        <w:numPr>
          <w:ilvl w:val="1"/>
          <w:numId w:val="1"/>
        </w:numPr>
        <w:spacing w:after="0" w:line="240" w:lineRule="auto"/>
        <w:rPr>
          <w:rFonts w:ascii="Arial" w:hAnsi="Arial" w:cs="Arial"/>
        </w:rPr>
      </w:pPr>
      <w:r w:rsidRPr="00771901">
        <w:rPr>
          <w:rFonts w:ascii="Arial" w:hAnsi="Arial" w:cs="Arial"/>
        </w:rPr>
        <w:t xml:space="preserve">Queensland’s participation in the National Redress Scheme, for example on </w:t>
      </w:r>
      <w:r w:rsidRPr="007F4EFE">
        <w:rPr>
          <w:rFonts w:ascii="Arial" w:hAnsi="Arial" w:cs="Arial"/>
        </w:rPr>
        <w:t>models of restorative justice</w:t>
      </w:r>
    </w:p>
    <w:p w14:paraId="5517741E" w14:textId="77777777" w:rsidR="00F41A66" w:rsidRPr="00D9026E" w:rsidRDefault="00F41A66" w:rsidP="00FC375B">
      <w:pPr>
        <w:pStyle w:val="ListParagraph"/>
        <w:numPr>
          <w:ilvl w:val="1"/>
          <w:numId w:val="1"/>
        </w:numPr>
        <w:spacing w:after="0" w:line="240" w:lineRule="auto"/>
        <w:rPr>
          <w:rFonts w:ascii="Arial" w:hAnsi="Arial" w:cs="Arial"/>
        </w:rPr>
      </w:pPr>
      <w:r w:rsidRPr="00D9026E">
        <w:rPr>
          <w:rFonts w:ascii="Arial" w:hAnsi="Arial" w:cs="Arial"/>
        </w:rPr>
        <w:t xml:space="preserve">Other relevant processes and/or schemes that aim to provide acknowledgement and justice in relation to institutional child abuse </w:t>
      </w:r>
    </w:p>
    <w:p w14:paraId="7FCE7DC8" w14:textId="77777777" w:rsidR="00F41A66" w:rsidRPr="00771901" w:rsidRDefault="00F41A66" w:rsidP="00FC375B">
      <w:pPr>
        <w:pStyle w:val="ListParagraph"/>
        <w:numPr>
          <w:ilvl w:val="1"/>
          <w:numId w:val="1"/>
        </w:numPr>
        <w:spacing w:after="0" w:line="240" w:lineRule="auto"/>
        <w:rPr>
          <w:rFonts w:ascii="Arial" w:hAnsi="Arial" w:cs="Arial"/>
        </w:rPr>
      </w:pPr>
      <w:r w:rsidRPr="00771901">
        <w:rPr>
          <w:rFonts w:ascii="Arial" w:hAnsi="Arial" w:cs="Arial"/>
        </w:rPr>
        <w:t>Proposals to implement cultural change and raise community awareness of the prevalence and impact of institutional child abuse</w:t>
      </w:r>
    </w:p>
    <w:p w14:paraId="2FBC6E86" w14:textId="5950CA11" w:rsidR="00F41A66" w:rsidRPr="00771901" w:rsidRDefault="00F41A66" w:rsidP="00FC375B">
      <w:pPr>
        <w:pStyle w:val="ListParagraph"/>
        <w:numPr>
          <w:ilvl w:val="1"/>
          <w:numId w:val="1"/>
        </w:numPr>
        <w:spacing w:after="0" w:line="240" w:lineRule="auto"/>
        <w:rPr>
          <w:rFonts w:ascii="Arial" w:hAnsi="Arial" w:cs="Arial"/>
        </w:rPr>
      </w:pPr>
      <w:r w:rsidRPr="00771901">
        <w:rPr>
          <w:rFonts w:ascii="Arial" w:hAnsi="Arial" w:cs="Arial"/>
        </w:rPr>
        <w:t>Reviews of existing structures related to supporting people who have experienced institutional child abuse.</w:t>
      </w:r>
    </w:p>
    <w:p w14:paraId="6DB88BE8" w14:textId="77777777" w:rsidR="00F41A66" w:rsidRDefault="00F41A66" w:rsidP="00F41A66">
      <w:pPr>
        <w:spacing w:after="0" w:line="240" w:lineRule="auto"/>
      </w:pPr>
    </w:p>
    <w:p w14:paraId="25ACF1CB" w14:textId="77777777" w:rsidR="00F41A66" w:rsidRPr="00771901" w:rsidRDefault="00F41A66" w:rsidP="00FC375B">
      <w:pPr>
        <w:pStyle w:val="Heading1"/>
        <w:spacing w:before="0" w:after="0"/>
      </w:pPr>
      <w:r w:rsidRPr="00771901">
        <w:t>Supporting Guidelines</w:t>
      </w:r>
    </w:p>
    <w:p w14:paraId="7391070C" w14:textId="77777777" w:rsidR="00F41A66" w:rsidRPr="00771901" w:rsidRDefault="00F41A66" w:rsidP="00F41A66">
      <w:pPr>
        <w:spacing w:after="0" w:line="240" w:lineRule="auto"/>
      </w:pPr>
      <w:r w:rsidRPr="00771901">
        <w:t xml:space="preserve">The following information supports the Terms of Reference of the Truth, Healing and Reconciliation Taskforce (the Taskforce) by providing further details about its operation. </w:t>
      </w:r>
    </w:p>
    <w:p w14:paraId="1DC847FB" w14:textId="77777777" w:rsidR="00F41A66" w:rsidRPr="00771901" w:rsidRDefault="00F41A66" w:rsidP="00F41A66">
      <w:pPr>
        <w:pStyle w:val="Heading2"/>
        <w:spacing w:before="0"/>
      </w:pPr>
    </w:p>
    <w:p w14:paraId="277E1BF6" w14:textId="77777777" w:rsidR="00F41A66" w:rsidRPr="00771901" w:rsidRDefault="00F41A66" w:rsidP="00F41A66">
      <w:pPr>
        <w:pStyle w:val="Heading2"/>
        <w:spacing w:before="0"/>
      </w:pPr>
      <w:r w:rsidRPr="00771901">
        <w:t xml:space="preserve">Role of the Taskforce  </w:t>
      </w:r>
    </w:p>
    <w:p w14:paraId="1B74B121" w14:textId="4E7AF43C" w:rsidR="00F41A66" w:rsidRPr="00771901" w:rsidRDefault="00F41A66" w:rsidP="00F41A66">
      <w:pPr>
        <w:spacing w:after="0" w:line="240" w:lineRule="auto"/>
      </w:pPr>
      <w:r w:rsidRPr="00771901">
        <w:t>The Taskforce will provide advice to the Minister on key issues relating to implementation of reforms arising from the Royal Commission into Institutional Responses to Child Sexual Abuse</w:t>
      </w:r>
      <w:r w:rsidR="00320927">
        <w:t>.</w:t>
      </w:r>
      <w:r w:rsidRPr="00771901">
        <w:t xml:space="preserve"> </w:t>
      </w:r>
    </w:p>
    <w:p w14:paraId="66BC0EB6" w14:textId="77777777" w:rsidR="00F41A66" w:rsidRPr="00771901" w:rsidRDefault="00F41A66" w:rsidP="00F41A66">
      <w:pPr>
        <w:spacing w:after="0" w:line="240" w:lineRule="auto"/>
      </w:pPr>
    </w:p>
    <w:p w14:paraId="578D4025" w14:textId="77777777" w:rsidR="00F41A66" w:rsidRPr="00771901" w:rsidRDefault="00F41A66" w:rsidP="00F41A66">
      <w:pPr>
        <w:spacing w:after="0" w:line="240" w:lineRule="auto"/>
      </w:pPr>
      <w:r w:rsidRPr="00771901">
        <w:t xml:space="preserve">The Taskforce is vital to ensuring the Queensland Government’s implementation of reforms is informed by the voices of those who have experienced institutional child abuse, the services who support them, and representatives of sectors that provide services to children. </w:t>
      </w:r>
    </w:p>
    <w:p w14:paraId="222D1C8F" w14:textId="3450DF4E" w:rsidR="00FC375B" w:rsidRDefault="00FC375B" w:rsidP="00F41A66">
      <w:pPr>
        <w:pStyle w:val="Heading2"/>
        <w:spacing w:before="0"/>
      </w:pPr>
    </w:p>
    <w:p w14:paraId="1D9383F6" w14:textId="77777777" w:rsidR="00C1655B" w:rsidRPr="00C1655B" w:rsidRDefault="00C1655B" w:rsidP="00C1655B"/>
    <w:p w14:paraId="74BD0C5D" w14:textId="5DF885AD" w:rsidR="00F41A66" w:rsidRPr="00771901" w:rsidRDefault="00F41A66" w:rsidP="00F41A66">
      <w:pPr>
        <w:pStyle w:val="Heading2"/>
        <w:spacing w:before="0"/>
      </w:pPr>
      <w:r w:rsidRPr="00771901">
        <w:lastRenderedPageBreak/>
        <w:t xml:space="preserve">Responsibilities </w:t>
      </w:r>
    </w:p>
    <w:p w14:paraId="21E558E7" w14:textId="6C83665C" w:rsidR="00F41A66" w:rsidRPr="007F4EFE" w:rsidRDefault="00F41A66" w:rsidP="00F41A66">
      <w:pPr>
        <w:spacing w:after="0" w:line="240" w:lineRule="auto"/>
        <w:rPr>
          <w:rFonts w:cs="Arial"/>
        </w:rPr>
      </w:pPr>
      <w:r w:rsidRPr="007F4EFE">
        <w:rPr>
          <w:rFonts w:cs="Arial"/>
        </w:rPr>
        <w:t xml:space="preserve">In performing the </w:t>
      </w:r>
      <w:r w:rsidR="00982F82">
        <w:rPr>
          <w:rFonts w:cs="Arial"/>
        </w:rPr>
        <w:t>three</w:t>
      </w:r>
      <w:r w:rsidRPr="007F4EFE">
        <w:rPr>
          <w:rFonts w:cs="Arial"/>
        </w:rPr>
        <w:t xml:space="preserve"> core functions outlined in the Terms of Reference, the Taskforce will: </w:t>
      </w:r>
    </w:p>
    <w:p w14:paraId="76906018" w14:textId="77777777" w:rsidR="00F41A66" w:rsidRPr="007F4EFE" w:rsidRDefault="00F41A66" w:rsidP="00F41A66">
      <w:pPr>
        <w:pStyle w:val="ListParagraph"/>
        <w:numPr>
          <w:ilvl w:val="0"/>
          <w:numId w:val="3"/>
        </w:numPr>
        <w:spacing w:after="0" w:line="240" w:lineRule="auto"/>
        <w:rPr>
          <w:rFonts w:ascii="Arial" w:hAnsi="Arial" w:cs="Arial"/>
        </w:rPr>
      </w:pPr>
      <w:r w:rsidRPr="007F4EFE">
        <w:rPr>
          <w:rFonts w:ascii="Arial" w:hAnsi="Arial" w:cs="Arial"/>
        </w:rPr>
        <w:t xml:space="preserve">provide honest, rigorous and transparent advice to the Minister </w:t>
      </w:r>
    </w:p>
    <w:p w14:paraId="1BC3722E" w14:textId="77777777" w:rsidR="00F41A66" w:rsidRPr="007F4EFE" w:rsidRDefault="00F41A66" w:rsidP="00F41A66">
      <w:pPr>
        <w:pStyle w:val="ListParagraph"/>
        <w:numPr>
          <w:ilvl w:val="0"/>
          <w:numId w:val="3"/>
        </w:numPr>
        <w:spacing w:after="0" w:line="240" w:lineRule="auto"/>
        <w:rPr>
          <w:rFonts w:ascii="Arial" w:hAnsi="Arial" w:cs="Arial"/>
        </w:rPr>
      </w:pPr>
      <w:r w:rsidRPr="007F4EFE">
        <w:rPr>
          <w:rFonts w:ascii="Arial" w:hAnsi="Arial" w:cs="Arial"/>
        </w:rPr>
        <w:t xml:space="preserve">work cooperatively and in a spirit of collaboration with government to help guide implementation of activities and reform initiatives  </w:t>
      </w:r>
    </w:p>
    <w:p w14:paraId="3400131F" w14:textId="77777777" w:rsidR="00F41A66" w:rsidRPr="007F4EFE" w:rsidRDefault="00F41A66" w:rsidP="00F41A66">
      <w:pPr>
        <w:pStyle w:val="ListParagraph"/>
        <w:numPr>
          <w:ilvl w:val="0"/>
          <w:numId w:val="3"/>
        </w:numPr>
        <w:spacing w:after="0" w:line="240" w:lineRule="auto"/>
        <w:rPr>
          <w:rFonts w:ascii="Arial" w:hAnsi="Arial" w:cs="Arial"/>
        </w:rPr>
      </w:pPr>
      <w:r w:rsidRPr="007F4EFE">
        <w:rPr>
          <w:rFonts w:ascii="Arial" w:hAnsi="Arial" w:cs="Arial"/>
        </w:rPr>
        <w:t xml:space="preserve">engage in best efforts to raise public awareness of the impact of institutional child abuse on </w:t>
      </w:r>
      <w:r w:rsidRPr="009A0AC4">
        <w:rPr>
          <w:rFonts w:ascii="Arial" w:hAnsi="Arial" w:cs="Arial"/>
        </w:rPr>
        <w:t>people with lived experience</w:t>
      </w:r>
    </w:p>
    <w:p w14:paraId="01EA5FE3" w14:textId="77777777" w:rsidR="00F41A66" w:rsidRPr="007F4EFE" w:rsidRDefault="00F41A66" w:rsidP="00F41A66">
      <w:pPr>
        <w:pStyle w:val="ListParagraph"/>
        <w:numPr>
          <w:ilvl w:val="0"/>
          <w:numId w:val="3"/>
        </w:numPr>
        <w:spacing w:after="0" w:line="240" w:lineRule="auto"/>
        <w:rPr>
          <w:rFonts w:ascii="Arial" w:hAnsi="Arial" w:cs="Arial"/>
        </w:rPr>
      </w:pPr>
      <w:r w:rsidRPr="007F4EFE">
        <w:rPr>
          <w:rFonts w:ascii="Arial" w:hAnsi="Arial" w:cs="Arial"/>
        </w:rPr>
        <w:t xml:space="preserve">report to the Minister each year, supported by the Taskforce secretariat within the Department of </w:t>
      </w:r>
      <w:r>
        <w:rPr>
          <w:rFonts w:ascii="Arial" w:hAnsi="Arial" w:cs="Arial"/>
        </w:rPr>
        <w:t xml:space="preserve">Children, Youth </w:t>
      </w:r>
      <w:proofErr w:type="gramStart"/>
      <w:r>
        <w:rPr>
          <w:rFonts w:ascii="Arial" w:hAnsi="Arial" w:cs="Arial"/>
        </w:rPr>
        <w:t>Justice</w:t>
      </w:r>
      <w:proofErr w:type="gramEnd"/>
      <w:r>
        <w:rPr>
          <w:rFonts w:ascii="Arial" w:hAnsi="Arial" w:cs="Arial"/>
        </w:rPr>
        <w:t xml:space="preserve"> and Multicultural Affairs</w:t>
      </w:r>
      <w:r w:rsidRPr="007F4EFE">
        <w:rPr>
          <w:rFonts w:ascii="Arial" w:hAnsi="Arial" w:cs="Arial"/>
        </w:rPr>
        <w:t>, openly and fairly advising on the function of the Taskforce and any areas for potential improvement.</w:t>
      </w:r>
    </w:p>
    <w:p w14:paraId="176D2FDB" w14:textId="77777777" w:rsidR="00F41A66" w:rsidRPr="007F4EFE" w:rsidRDefault="00F41A66" w:rsidP="00F41A66">
      <w:pPr>
        <w:spacing w:after="0" w:line="240" w:lineRule="auto"/>
        <w:rPr>
          <w:rFonts w:cs="Arial"/>
        </w:rPr>
      </w:pPr>
    </w:p>
    <w:p w14:paraId="52D1945D" w14:textId="77777777" w:rsidR="00F41A66" w:rsidRPr="007F4EFE" w:rsidRDefault="00F41A66" w:rsidP="00F41A66">
      <w:pPr>
        <w:spacing w:after="0" w:line="240" w:lineRule="auto"/>
        <w:rPr>
          <w:rFonts w:cs="Arial"/>
        </w:rPr>
      </w:pPr>
      <w:r w:rsidRPr="007F4EFE">
        <w:rPr>
          <w:rFonts w:cs="Arial"/>
        </w:rPr>
        <w:t>Individual members of the Taskforce will:</w:t>
      </w:r>
    </w:p>
    <w:p w14:paraId="4D35A048" w14:textId="77777777" w:rsidR="00F41A66" w:rsidRPr="007F4EFE" w:rsidRDefault="00F41A66" w:rsidP="00F41A66">
      <w:pPr>
        <w:pStyle w:val="ListParagraph"/>
        <w:numPr>
          <w:ilvl w:val="0"/>
          <w:numId w:val="5"/>
        </w:numPr>
        <w:spacing w:after="0" w:line="240" w:lineRule="auto"/>
        <w:rPr>
          <w:rFonts w:ascii="Arial" w:eastAsiaTheme="minorEastAsia" w:hAnsi="Arial" w:cs="Arial"/>
          <w:szCs w:val="24"/>
          <w:lang w:val="en-US"/>
        </w:rPr>
      </w:pPr>
      <w:r w:rsidRPr="009A0AC4">
        <w:rPr>
          <w:rFonts w:ascii="Arial" w:eastAsiaTheme="minorEastAsia" w:hAnsi="Arial" w:cs="Arial"/>
          <w:szCs w:val="24"/>
          <w:lang w:val="en-US"/>
        </w:rPr>
        <w:t>network and consult with people with lived experience, their support</w:t>
      </w:r>
      <w:r w:rsidRPr="007F4EFE">
        <w:rPr>
          <w:rFonts w:ascii="Arial" w:eastAsiaTheme="minorEastAsia" w:hAnsi="Arial" w:cs="Arial"/>
          <w:szCs w:val="24"/>
          <w:lang w:val="en-US"/>
        </w:rPr>
        <w:t xml:space="preserve"> groups, service providers and other relevant organisations</w:t>
      </w:r>
    </w:p>
    <w:p w14:paraId="1D52C499" w14:textId="77777777" w:rsidR="00F41A66" w:rsidRPr="007F4EFE" w:rsidRDefault="00F41A66" w:rsidP="00F41A66">
      <w:pPr>
        <w:pStyle w:val="ListParagraph"/>
        <w:numPr>
          <w:ilvl w:val="0"/>
          <w:numId w:val="5"/>
        </w:numPr>
        <w:spacing w:after="0" w:line="240" w:lineRule="auto"/>
        <w:rPr>
          <w:rFonts w:ascii="Arial" w:eastAsiaTheme="minorEastAsia" w:hAnsi="Arial" w:cs="Arial"/>
          <w:szCs w:val="24"/>
          <w:lang w:val="en-US"/>
        </w:rPr>
      </w:pPr>
      <w:r w:rsidRPr="007F4EFE">
        <w:rPr>
          <w:rFonts w:ascii="Arial" w:eastAsiaTheme="minorEastAsia" w:hAnsi="Arial" w:cs="Arial"/>
          <w:szCs w:val="24"/>
          <w:lang w:val="en-US"/>
        </w:rPr>
        <w:t>contribute the feedback and views from networking and consultation into the deliberations of the Taskforce.</w:t>
      </w:r>
    </w:p>
    <w:p w14:paraId="0B4CDE47" w14:textId="77777777" w:rsidR="00F41A66" w:rsidRPr="00771901" w:rsidRDefault="00F41A66" w:rsidP="00F41A66">
      <w:pPr>
        <w:spacing w:after="0" w:line="240" w:lineRule="auto"/>
        <w:rPr>
          <w:rFonts w:cs="Arial"/>
        </w:rPr>
      </w:pPr>
    </w:p>
    <w:p w14:paraId="1EF80237" w14:textId="77777777" w:rsidR="00F41A66" w:rsidRPr="00771901" w:rsidRDefault="00F41A66" w:rsidP="00F41A66">
      <w:pPr>
        <w:spacing w:after="0" w:line="240" w:lineRule="auto"/>
        <w:rPr>
          <w:rFonts w:cs="Arial"/>
        </w:rPr>
      </w:pPr>
      <w:r w:rsidRPr="00771901">
        <w:rPr>
          <w:rFonts w:cs="Arial"/>
        </w:rPr>
        <w:t>The Queensland Government and its agencies will:</w:t>
      </w:r>
    </w:p>
    <w:p w14:paraId="2B79C934" w14:textId="77777777"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 xml:space="preserve">meaningfully and collaboratively engage with the Taskforce </w:t>
      </w:r>
    </w:p>
    <w:p w14:paraId="7A28A5D5" w14:textId="77777777"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 xml:space="preserve">brief the Taskforce on progress implementing the recommendations of the Royal </w:t>
      </w:r>
      <w:r>
        <w:rPr>
          <w:rFonts w:ascii="Arial" w:hAnsi="Arial" w:cs="Arial"/>
        </w:rPr>
        <w:t>Commission</w:t>
      </w:r>
    </w:p>
    <w:p w14:paraId="28485D89" w14:textId="77777777" w:rsidR="00F41A66" w:rsidRPr="00771901" w:rsidRDefault="00F41A66" w:rsidP="00F41A66">
      <w:pPr>
        <w:spacing w:after="0" w:line="240" w:lineRule="auto"/>
        <w:rPr>
          <w:rFonts w:cs="Arial"/>
        </w:rPr>
      </w:pPr>
    </w:p>
    <w:p w14:paraId="7B391972" w14:textId="77777777" w:rsidR="00F41A66" w:rsidRPr="00771901" w:rsidRDefault="00F41A66" w:rsidP="00F41A66">
      <w:pPr>
        <w:spacing w:after="0" w:line="240" w:lineRule="auto"/>
        <w:rPr>
          <w:rFonts w:cs="Arial"/>
        </w:rPr>
      </w:pPr>
      <w:r w:rsidRPr="00771901">
        <w:rPr>
          <w:rFonts w:cs="Arial"/>
        </w:rPr>
        <w:t xml:space="preserve">The Queensland Government through the Taskforce Secretariat in the Department of </w:t>
      </w:r>
      <w:r>
        <w:rPr>
          <w:rFonts w:cs="Arial"/>
        </w:rPr>
        <w:t xml:space="preserve">Children, Youth Justice and Multicultural Affairs </w:t>
      </w:r>
      <w:r w:rsidRPr="00771901">
        <w:rPr>
          <w:rFonts w:cs="Arial"/>
        </w:rPr>
        <w:t xml:space="preserve">will support the Taskforce in its activities by: </w:t>
      </w:r>
    </w:p>
    <w:p w14:paraId="589231F5" w14:textId="77777777"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providing timely and accurate information to the Taskforce as requested, including briefings</w:t>
      </w:r>
    </w:p>
    <w:p w14:paraId="7B937478" w14:textId="77777777" w:rsidR="00F41A66" w:rsidRPr="007F4EFE" w:rsidRDefault="00F41A66" w:rsidP="00F41A66">
      <w:pPr>
        <w:pStyle w:val="ListParagraph"/>
        <w:numPr>
          <w:ilvl w:val="0"/>
          <w:numId w:val="3"/>
        </w:numPr>
        <w:spacing w:after="0" w:line="240" w:lineRule="auto"/>
        <w:rPr>
          <w:rFonts w:ascii="Arial" w:hAnsi="Arial" w:cs="Arial"/>
        </w:rPr>
      </w:pPr>
      <w:r w:rsidRPr="00771901">
        <w:rPr>
          <w:rFonts w:ascii="Arial" w:hAnsi="Arial" w:cs="Arial"/>
        </w:rPr>
        <w:t xml:space="preserve">providing trauma-informed support to Taskforce members to </w:t>
      </w:r>
      <w:r w:rsidRPr="007F4EFE">
        <w:rPr>
          <w:rFonts w:ascii="Arial" w:hAnsi="Arial" w:cs="Arial"/>
        </w:rPr>
        <w:t xml:space="preserve">help ensure the Taskforce is a meaningful and safe space for </w:t>
      </w:r>
      <w:r w:rsidRPr="009A0AC4">
        <w:rPr>
          <w:rFonts w:ascii="Arial" w:hAnsi="Arial" w:cs="Arial"/>
        </w:rPr>
        <w:t>engagement, particularly for people with lived experience of institutional</w:t>
      </w:r>
      <w:r w:rsidRPr="007F4EFE">
        <w:rPr>
          <w:rFonts w:ascii="Arial" w:hAnsi="Arial" w:cs="Arial"/>
        </w:rPr>
        <w:t xml:space="preserve"> child abuse</w:t>
      </w:r>
    </w:p>
    <w:p w14:paraId="62E81215" w14:textId="77777777" w:rsidR="00F41A66" w:rsidRPr="007F4EFE" w:rsidRDefault="00F41A66" w:rsidP="00F41A66">
      <w:pPr>
        <w:pStyle w:val="ListParagraph"/>
        <w:numPr>
          <w:ilvl w:val="0"/>
          <w:numId w:val="3"/>
        </w:numPr>
        <w:spacing w:after="0" w:line="240" w:lineRule="auto"/>
        <w:rPr>
          <w:rFonts w:ascii="Arial" w:hAnsi="Arial" w:cs="Arial"/>
        </w:rPr>
      </w:pPr>
      <w:r w:rsidRPr="007F4EFE">
        <w:rPr>
          <w:rFonts w:ascii="Arial" w:hAnsi="Arial" w:cs="Arial"/>
        </w:rPr>
        <w:t>managing the responsibilities of the Taskforce as a Government body, including membership</w:t>
      </w:r>
    </w:p>
    <w:p w14:paraId="7C0A9E72" w14:textId="77777777"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 xml:space="preserve">managing and facilitating stakeholder engagement, including linking with other relevant advisory groups at a local, state and federal level as appropriate </w:t>
      </w:r>
    </w:p>
    <w:p w14:paraId="3E6D6E0E" w14:textId="77777777"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complying with relevant record-keeping obligations</w:t>
      </w:r>
    </w:p>
    <w:p w14:paraId="0723E5A2" w14:textId="77777777"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organising quarterly meetings, including all logistics</w:t>
      </w:r>
    </w:p>
    <w:p w14:paraId="072D2377" w14:textId="6C030DC3" w:rsidR="00F41A66" w:rsidRPr="00771901" w:rsidRDefault="00F41A66" w:rsidP="00F41A66">
      <w:pPr>
        <w:pStyle w:val="ListParagraph"/>
        <w:numPr>
          <w:ilvl w:val="0"/>
          <w:numId w:val="3"/>
        </w:numPr>
        <w:spacing w:after="0" w:line="240" w:lineRule="auto"/>
        <w:rPr>
          <w:rFonts w:ascii="Arial" w:hAnsi="Arial" w:cs="Arial"/>
        </w:rPr>
      </w:pPr>
      <w:r w:rsidRPr="00771901">
        <w:rPr>
          <w:rFonts w:ascii="Arial" w:hAnsi="Arial" w:cs="Arial"/>
        </w:rPr>
        <w:t>developing the Taskforce’s annual report to the Minister, on advice from the Taskforce</w:t>
      </w:r>
      <w:r w:rsidR="00320927">
        <w:rPr>
          <w:rFonts w:ascii="Arial" w:hAnsi="Arial" w:cs="Arial"/>
        </w:rPr>
        <w:t>.</w:t>
      </w:r>
    </w:p>
    <w:p w14:paraId="0E132750" w14:textId="77777777" w:rsidR="00F41A66" w:rsidRPr="00771901" w:rsidRDefault="00F41A66" w:rsidP="007178B1">
      <w:pPr>
        <w:pStyle w:val="ListParagraph"/>
        <w:spacing w:after="0" w:line="240" w:lineRule="auto"/>
        <w:ind w:left="360"/>
      </w:pPr>
    </w:p>
    <w:p w14:paraId="0FD7CEF4" w14:textId="77777777" w:rsidR="00F41A66" w:rsidRPr="00771901" w:rsidRDefault="00F41A66" w:rsidP="00F41A66">
      <w:pPr>
        <w:pStyle w:val="Heading2"/>
        <w:spacing w:before="0"/>
      </w:pPr>
      <w:r w:rsidRPr="00771901">
        <w:t xml:space="preserve">Membership </w:t>
      </w:r>
    </w:p>
    <w:p w14:paraId="43255098" w14:textId="77777777" w:rsidR="00F41A66" w:rsidRPr="00771901" w:rsidRDefault="00F41A66" w:rsidP="00F41A66">
      <w:pPr>
        <w:spacing w:after="0" w:line="240" w:lineRule="auto"/>
        <w:rPr>
          <w:rFonts w:cs="Arial"/>
        </w:rPr>
      </w:pPr>
      <w:r w:rsidRPr="00771901">
        <w:rPr>
          <w:rFonts w:cs="Arial"/>
        </w:rPr>
        <w:t xml:space="preserve">Members will be appointed through </w:t>
      </w:r>
      <w:r>
        <w:rPr>
          <w:rFonts w:cs="Arial"/>
        </w:rPr>
        <w:t xml:space="preserve">the </w:t>
      </w:r>
      <w:r w:rsidRPr="00771901">
        <w:rPr>
          <w:rFonts w:cs="Arial"/>
        </w:rPr>
        <w:t xml:space="preserve">Appointment process outlined in </w:t>
      </w:r>
      <w:r w:rsidRPr="00C10A87">
        <w:rPr>
          <w:rFonts w:cs="Arial"/>
          <w:i/>
        </w:rPr>
        <w:t>The Queensland Cabinet Handbook.</w:t>
      </w:r>
      <w:r>
        <w:rPr>
          <w:rFonts w:cs="Arial"/>
        </w:rPr>
        <w:t xml:space="preserve"> </w:t>
      </w:r>
    </w:p>
    <w:p w14:paraId="0991B33C" w14:textId="77777777" w:rsidR="00F41A66" w:rsidRPr="00771901" w:rsidRDefault="00F41A66" w:rsidP="00F41A66">
      <w:pPr>
        <w:spacing w:after="0" w:line="240" w:lineRule="auto"/>
        <w:rPr>
          <w:rFonts w:cs="Arial"/>
        </w:rPr>
      </w:pPr>
    </w:p>
    <w:p w14:paraId="3595BA5F" w14:textId="77777777" w:rsidR="00F41A66" w:rsidRPr="00771901" w:rsidRDefault="00F41A66" w:rsidP="00F41A66">
      <w:pPr>
        <w:spacing w:after="0" w:line="240" w:lineRule="auto"/>
        <w:rPr>
          <w:rFonts w:cs="Arial"/>
        </w:rPr>
      </w:pPr>
      <w:r w:rsidRPr="00771901">
        <w:rPr>
          <w:rFonts w:cs="Arial"/>
        </w:rPr>
        <w:t xml:space="preserve">The Taskforce will be led by an eminent Chair who will guide and support Taskforce members in their responsibilities and help raise the public profile of the Taskforce. </w:t>
      </w:r>
      <w:r w:rsidRPr="00C91838">
        <w:rPr>
          <w:rFonts w:cs="Arial"/>
        </w:rPr>
        <w:t xml:space="preserve">The Chair will have standing in the context of institutional child abuse, with a reputation that will promote the Taskforce’s credibility with people who experienced institutional child abuse, stakeholders and the public. </w:t>
      </w:r>
    </w:p>
    <w:p w14:paraId="4C1BA37B" w14:textId="77777777" w:rsidR="00F41A66" w:rsidRPr="00771901" w:rsidRDefault="00F41A66" w:rsidP="00F41A66">
      <w:pPr>
        <w:spacing w:after="0" w:line="240" w:lineRule="auto"/>
        <w:rPr>
          <w:rFonts w:cs="Arial"/>
        </w:rPr>
      </w:pPr>
    </w:p>
    <w:p w14:paraId="5B5B7EC6" w14:textId="77777777" w:rsidR="00F41A66" w:rsidRPr="000C08ED" w:rsidRDefault="00F41A66" w:rsidP="00F41A66">
      <w:pPr>
        <w:spacing w:after="0" w:line="240" w:lineRule="auto"/>
        <w:rPr>
          <w:rFonts w:cs="Arial"/>
        </w:rPr>
      </w:pPr>
      <w:r w:rsidRPr="000C08ED">
        <w:rPr>
          <w:rFonts w:cs="Arial"/>
        </w:rPr>
        <w:t>Membership of the Taskforce will include:</w:t>
      </w:r>
    </w:p>
    <w:p w14:paraId="601B4AA5" w14:textId="77777777" w:rsidR="00F41A66" w:rsidRPr="009A0AC4" w:rsidRDefault="00F41A66" w:rsidP="00F41A66">
      <w:pPr>
        <w:pStyle w:val="ListParagraph"/>
        <w:numPr>
          <w:ilvl w:val="0"/>
          <w:numId w:val="4"/>
        </w:numPr>
        <w:spacing w:after="0" w:line="240" w:lineRule="auto"/>
        <w:rPr>
          <w:rFonts w:ascii="Arial" w:hAnsi="Arial" w:cs="Arial"/>
        </w:rPr>
      </w:pPr>
      <w:r w:rsidRPr="000C08ED">
        <w:rPr>
          <w:rFonts w:ascii="Arial" w:hAnsi="Arial" w:cs="Arial"/>
        </w:rPr>
        <w:t xml:space="preserve">four representatives of </w:t>
      </w:r>
      <w:r w:rsidRPr="009A0AC4">
        <w:rPr>
          <w:rFonts w:ascii="Arial" w:hAnsi="Arial" w:cs="Arial"/>
        </w:rPr>
        <w:t xml:space="preserve">people with lived experience of institutional child sexual abuse ensuring: </w:t>
      </w:r>
    </w:p>
    <w:p w14:paraId="120B782E" w14:textId="77777777" w:rsidR="00F41A66" w:rsidRPr="009A0AC4" w:rsidRDefault="00F41A66" w:rsidP="00F41A66">
      <w:pPr>
        <w:pStyle w:val="ListParagraph"/>
        <w:numPr>
          <w:ilvl w:val="1"/>
          <w:numId w:val="4"/>
        </w:numPr>
        <w:spacing w:after="0" w:line="240" w:lineRule="auto"/>
        <w:rPr>
          <w:rFonts w:ascii="Arial" w:hAnsi="Arial" w:cs="Arial"/>
        </w:rPr>
      </w:pPr>
      <w:r w:rsidRPr="009A0AC4">
        <w:rPr>
          <w:rFonts w:ascii="Arial" w:hAnsi="Arial" w:cs="Arial"/>
        </w:rPr>
        <w:t>representation of experiences of physical, sexual and psychological abuse within institutional settings</w:t>
      </w:r>
    </w:p>
    <w:p w14:paraId="5D0E4730" w14:textId="77777777" w:rsidR="00F41A66" w:rsidRPr="009A0AC4" w:rsidRDefault="00F41A66" w:rsidP="00F41A66">
      <w:pPr>
        <w:pStyle w:val="ListParagraph"/>
        <w:numPr>
          <w:ilvl w:val="1"/>
          <w:numId w:val="4"/>
        </w:numPr>
        <w:spacing w:after="0" w:line="240" w:lineRule="auto"/>
        <w:rPr>
          <w:rFonts w:ascii="Arial" w:hAnsi="Arial" w:cs="Arial"/>
        </w:rPr>
      </w:pPr>
      <w:r w:rsidRPr="009A0AC4">
        <w:rPr>
          <w:rFonts w:ascii="Arial" w:hAnsi="Arial" w:cs="Arial"/>
        </w:rPr>
        <w:lastRenderedPageBreak/>
        <w:t xml:space="preserve">at least one member representing Aboriginal and Torres Strait Islander people </w:t>
      </w:r>
    </w:p>
    <w:p w14:paraId="07CDEB69" w14:textId="77777777" w:rsidR="00F41A66" w:rsidRPr="009A0AC4" w:rsidRDefault="00F41A66" w:rsidP="00F41A66">
      <w:pPr>
        <w:pStyle w:val="ListParagraph"/>
        <w:numPr>
          <w:ilvl w:val="1"/>
          <w:numId w:val="4"/>
        </w:numPr>
        <w:spacing w:after="0" w:line="240" w:lineRule="auto"/>
        <w:rPr>
          <w:rFonts w:ascii="Arial" w:hAnsi="Arial" w:cs="Arial"/>
        </w:rPr>
      </w:pPr>
      <w:r w:rsidRPr="009A0AC4">
        <w:rPr>
          <w:rFonts w:ascii="Arial" w:hAnsi="Arial" w:cs="Arial"/>
        </w:rPr>
        <w:t>one member representing people who have experienced institutional child sexual abuse in an institutional setting other than residential or care</w:t>
      </w:r>
    </w:p>
    <w:p w14:paraId="01CCCF00" w14:textId="77777777" w:rsidR="00F41A66" w:rsidRPr="009A0AC4" w:rsidRDefault="00F41A66" w:rsidP="00F41A66">
      <w:pPr>
        <w:pStyle w:val="ListParagraph"/>
        <w:numPr>
          <w:ilvl w:val="1"/>
          <w:numId w:val="4"/>
        </w:numPr>
        <w:spacing w:after="0" w:line="240" w:lineRule="auto"/>
        <w:rPr>
          <w:rFonts w:ascii="Arial" w:hAnsi="Arial" w:cs="Arial"/>
        </w:rPr>
      </w:pPr>
      <w:r w:rsidRPr="009A0AC4">
        <w:rPr>
          <w:rFonts w:ascii="Arial" w:hAnsi="Arial" w:cs="Arial"/>
        </w:rPr>
        <w:t>gender diversity.</w:t>
      </w:r>
    </w:p>
    <w:p w14:paraId="292DDACA" w14:textId="77777777" w:rsidR="00F41A66" w:rsidRPr="009A0AC4" w:rsidRDefault="00F41A66" w:rsidP="00F41A66">
      <w:pPr>
        <w:pStyle w:val="ListParagraph"/>
        <w:numPr>
          <w:ilvl w:val="0"/>
          <w:numId w:val="4"/>
        </w:numPr>
        <w:spacing w:after="0" w:line="240" w:lineRule="auto"/>
        <w:rPr>
          <w:rFonts w:ascii="Arial" w:hAnsi="Arial" w:cs="Arial"/>
        </w:rPr>
      </w:pPr>
      <w:r w:rsidRPr="009A0AC4">
        <w:rPr>
          <w:rFonts w:ascii="Arial" w:hAnsi="Arial" w:cs="Arial"/>
        </w:rPr>
        <w:t>two representatives of services that support people with lived experience of institutional child abuse</w:t>
      </w:r>
    </w:p>
    <w:p w14:paraId="5F2F3C2B" w14:textId="77777777" w:rsidR="00F41A66" w:rsidRDefault="00F41A66" w:rsidP="00F41A66">
      <w:pPr>
        <w:pStyle w:val="ListParagraph"/>
        <w:numPr>
          <w:ilvl w:val="0"/>
          <w:numId w:val="4"/>
        </w:numPr>
        <w:spacing w:after="0" w:line="240" w:lineRule="auto"/>
        <w:rPr>
          <w:rFonts w:ascii="Arial" w:hAnsi="Arial" w:cs="Arial"/>
        </w:rPr>
      </w:pPr>
      <w:r w:rsidRPr="000C08ED">
        <w:rPr>
          <w:rFonts w:ascii="Arial" w:hAnsi="Arial" w:cs="Arial"/>
        </w:rPr>
        <w:t xml:space="preserve">one representative of care providers </w:t>
      </w:r>
    </w:p>
    <w:p w14:paraId="322424B9" w14:textId="77777777" w:rsidR="00F41A66" w:rsidRPr="0033565B" w:rsidRDefault="00F41A66" w:rsidP="00F41A66">
      <w:pPr>
        <w:pStyle w:val="ListParagraph"/>
        <w:numPr>
          <w:ilvl w:val="0"/>
          <w:numId w:val="4"/>
        </w:numPr>
        <w:spacing w:after="0" w:line="240" w:lineRule="auto"/>
        <w:rPr>
          <w:rFonts w:ascii="Arial" w:hAnsi="Arial" w:cs="Arial"/>
        </w:rPr>
      </w:pPr>
      <w:r w:rsidRPr="0033565B">
        <w:rPr>
          <w:rFonts w:ascii="Arial" w:hAnsi="Arial" w:cs="Arial"/>
        </w:rPr>
        <w:t xml:space="preserve">one representative of </w:t>
      </w:r>
      <w:r>
        <w:rPr>
          <w:rFonts w:ascii="Arial" w:hAnsi="Arial" w:cs="Arial"/>
        </w:rPr>
        <w:t>an</w:t>
      </w:r>
      <w:r w:rsidRPr="0033565B">
        <w:rPr>
          <w:rFonts w:ascii="Arial" w:hAnsi="Arial" w:cs="Arial"/>
        </w:rPr>
        <w:t xml:space="preserve"> organisation</w:t>
      </w:r>
      <w:r>
        <w:rPr>
          <w:rFonts w:ascii="Arial" w:hAnsi="Arial" w:cs="Arial"/>
        </w:rPr>
        <w:t xml:space="preserve"> that supports children and young people </w:t>
      </w:r>
      <w:r w:rsidRPr="0033565B">
        <w:rPr>
          <w:rFonts w:ascii="Arial" w:hAnsi="Arial" w:cs="Arial"/>
        </w:rPr>
        <w:t xml:space="preserve">and </w:t>
      </w:r>
    </w:p>
    <w:p w14:paraId="2FA1A4A6" w14:textId="77777777" w:rsidR="00F41A66" w:rsidRPr="00771901" w:rsidRDefault="00F41A66" w:rsidP="00F41A66">
      <w:pPr>
        <w:pStyle w:val="ListParagraph"/>
        <w:numPr>
          <w:ilvl w:val="0"/>
          <w:numId w:val="4"/>
        </w:numPr>
        <w:spacing w:after="0" w:line="240" w:lineRule="auto"/>
        <w:rPr>
          <w:rFonts w:ascii="Arial" w:hAnsi="Arial" w:cs="Arial"/>
        </w:rPr>
      </w:pPr>
      <w:r w:rsidRPr="00771901">
        <w:rPr>
          <w:rFonts w:ascii="Arial" w:hAnsi="Arial" w:cs="Arial"/>
        </w:rPr>
        <w:t xml:space="preserve">one representative of religious institutions and religious schools.  </w:t>
      </w:r>
    </w:p>
    <w:p w14:paraId="0D034FE3" w14:textId="77777777" w:rsidR="005E1A5A" w:rsidRDefault="005E1A5A" w:rsidP="00F41A66">
      <w:pPr>
        <w:pStyle w:val="Heading2"/>
        <w:spacing w:before="0"/>
      </w:pPr>
    </w:p>
    <w:p w14:paraId="293B54CC" w14:textId="255A1C7B" w:rsidR="00F41A66" w:rsidRPr="00771901" w:rsidRDefault="00F41A66" w:rsidP="00F41A66">
      <w:pPr>
        <w:pStyle w:val="Heading2"/>
        <w:spacing w:before="0"/>
      </w:pPr>
      <w:r w:rsidRPr="00771901">
        <w:t xml:space="preserve">Term of Appointment </w:t>
      </w:r>
    </w:p>
    <w:p w14:paraId="40E83D76" w14:textId="5B1D4A78" w:rsidR="005E1A5A" w:rsidRDefault="005E1A5A" w:rsidP="005E1A5A">
      <w:pPr>
        <w:spacing w:after="0" w:line="240" w:lineRule="auto"/>
        <w:rPr>
          <w:rFonts w:cs="Arial"/>
        </w:rPr>
      </w:pPr>
      <w:r>
        <w:rPr>
          <w:rFonts w:cs="Arial"/>
        </w:rPr>
        <w:t xml:space="preserve">The current and third term is </w:t>
      </w:r>
      <w:r w:rsidRPr="005E1A5A">
        <w:rPr>
          <w:rFonts w:cs="Arial"/>
        </w:rPr>
        <w:t>1 January 2023 to 31 December 2023.</w:t>
      </w:r>
    </w:p>
    <w:p w14:paraId="08500816" w14:textId="0152D9D6" w:rsidR="005E1A5A" w:rsidRDefault="005E1A5A" w:rsidP="005E1A5A">
      <w:pPr>
        <w:spacing w:after="0" w:line="240" w:lineRule="auto"/>
        <w:rPr>
          <w:rFonts w:cs="Arial"/>
        </w:rPr>
      </w:pPr>
    </w:p>
    <w:p w14:paraId="627B8FCD" w14:textId="4B980FBA" w:rsidR="005E1A5A" w:rsidRDefault="005E1A5A" w:rsidP="005E1A5A">
      <w:pPr>
        <w:spacing w:after="0" w:line="240" w:lineRule="auto"/>
        <w:rPr>
          <w:rFonts w:cs="Arial"/>
        </w:rPr>
      </w:pPr>
      <w:r>
        <w:rPr>
          <w:rFonts w:cs="Arial"/>
        </w:rPr>
        <w:t>Previous terms are summarized below:</w:t>
      </w:r>
    </w:p>
    <w:p w14:paraId="23A02B5D" w14:textId="77777777" w:rsidR="005E1A5A" w:rsidRPr="005E1A5A" w:rsidRDefault="005E1A5A" w:rsidP="005E1A5A">
      <w:pPr>
        <w:spacing w:after="0" w:line="240" w:lineRule="auto"/>
        <w:rPr>
          <w:rFonts w:cs="Arial"/>
        </w:rPr>
      </w:pPr>
    </w:p>
    <w:tbl>
      <w:tblPr>
        <w:tblStyle w:val="TableGrid"/>
        <w:tblW w:w="0" w:type="auto"/>
        <w:tblLook w:val="04A0" w:firstRow="1" w:lastRow="0" w:firstColumn="1" w:lastColumn="0" w:noHBand="0" w:noVBand="1"/>
      </w:tblPr>
      <w:tblGrid>
        <w:gridCol w:w="754"/>
        <w:gridCol w:w="4203"/>
        <w:gridCol w:w="4053"/>
      </w:tblGrid>
      <w:tr w:rsidR="005E1A5A" w14:paraId="590B1A73" w14:textId="77777777" w:rsidTr="005E1A5A">
        <w:tc>
          <w:tcPr>
            <w:tcW w:w="754" w:type="dxa"/>
            <w:shd w:val="clear" w:color="auto" w:fill="D9D9D9" w:themeFill="background1" w:themeFillShade="D9"/>
          </w:tcPr>
          <w:p w14:paraId="0CDD4FB9" w14:textId="683DCE7B" w:rsidR="005E1A5A" w:rsidRPr="005E1A5A" w:rsidRDefault="005E1A5A" w:rsidP="005E1A5A">
            <w:pPr>
              <w:rPr>
                <w:b/>
                <w:bCs/>
              </w:rPr>
            </w:pPr>
            <w:r w:rsidRPr="005E1A5A">
              <w:rPr>
                <w:b/>
                <w:bCs/>
              </w:rPr>
              <w:t>Term</w:t>
            </w:r>
          </w:p>
        </w:tc>
        <w:tc>
          <w:tcPr>
            <w:tcW w:w="4203" w:type="dxa"/>
            <w:shd w:val="clear" w:color="auto" w:fill="D9D9D9" w:themeFill="background1" w:themeFillShade="D9"/>
          </w:tcPr>
          <w:p w14:paraId="2148224F" w14:textId="4AD600D4" w:rsidR="005E1A5A" w:rsidRPr="005E1A5A" w:rsidRDefault="005E1A5A" w:rsidP="005E1A5A">
            <w:pPr>
              <w:rPr>
                <w:b/>
                <w:bCs/>
              </w:rPr>
            </w:pPr>
            <w:r w:rsidRPr="005E1A5A">
              <w:rPr>
                <w:b/>
                <w:bCs/>
              </w:rPr>
              <w:t xml:space="preserve">Dates </w:t>
            </w:r>
          </w:p>
        </w:tc>
        <w:tc>
          <w:tcPr>
            <w:tcW w:w="4053" w:type="dxa"/>
            <w:shd w:val="clear" w:color="auto" w:fill="D9D9D9" w:themeFill="background1" w:themeFillShade="D9"/>
          </w:tcPr>
          <w:p w14:paraId="6758E9B8" w14:textId="312C8238" w:rsidR="005E1A5A" w:rsidRPr="005E1A5A" w:rsidRDefault="00603260" w:rsidP="005E1A5A">
            <w:pPr>
              <w:rPr>
                <w:b/>
                <w:bCs/>
              </w:rPr>
            </w:pPr>
            <w:r>
              <w:rPr>
                <w:b/>
                <w:bCs/>
              </w:rPr>
              <w:t xml:space="preserve">Focus </w:t>
            </w:r>
          </w:p>
        </w:tc>
      </w:tr>
      <w:tr w:rsidR="005E1A5A" w14:paraId="435D95D1" w14:textId="77777777" w:rsidTr="005E1A5A">
        <w:tc>
          <w:tcPr>
            <w:tcW w:w="754" w:type="dxa"/>
          </w:tcPr>
          <w:p w14:paraId="1A02891E" w14:textId="26DE5BB5" w:rsidR="005E1A5A" w:rsidRDefault="005E1A5A" w:rsidP="005E1A5A">
            <w:r>
              <w:t>1</w:t>
            </w:r>
          </w:p>
        </w:tc>
        <w:tc>
          <w:tcPr>
            <w:tcW w:w="4203" w:type="dxa"/>
          </w:tcPr>
          <w:p w14:paraId="6E53077B" w14:textId="49C01573" w:rsidR="005E1A5A" w:rsidRDefault="005E1A5A" w:rsidP="005E1A5A">
            <w:r w:rsidRPr="003703AE">
              <w:rPr>
                <w:rFonts w:cs="Arial"/>
              </w:rPr>
              <w:t xml:space="preserve">September 2018 to 31 </w:t>
            </w:r>
            <w:r w:rsidRPr="006263CE">
              <w:rPr>
                <w:rFonts w:cs="Arial"/>
              </w:rPr>
              <w:t>December</w:t>
            </w:r>
            <w:r w:rsidRPr="003703AE">
              <w:rPr>
                <w:rFonts w:cs="Arial"/>
              </w:rPr>
              <w:t xml:space="preserve"> 2020</w:t>
            </w:r>
          </w:p>
        </w:tc>
        <w:tc>
          <w:tcPr>
            <w:tcW w:w="4053" w:type="dxa"/>
          </w:tcPr>
          <w:p w14:paraId="0252F3BF" w14:textId="568AAEFE" w:rsidR="005E1A5A" w:rsidRDefault="00603260" w:rsidP="005E1A5A">
            <w:r>
              <w:t>Initial Term</w:t>
            </w:r>
          </w:p>
        </w:tc>
      </w:tr>
      <w:tr w:rsidR="00603260" w14:paraId="20B39672" w14:textId="77777777" w:rsidTr="005E1A5A">
        <w:tc>
          <w:tcPr>
            <w:tcW w:w="754" w:type="dxa"/>
          </w:tcPr>
          <w:p w14:paraId="72A6192E" w14:textId="249F5115" w:rsidR="00603260" w:rsidRDefault="00603260" w:rsidP="005E1A5A">
            <w:r>
              <w:t>2</w:t>
            </w:r>
          </w:p>
        </w:tc>
        <w:tc>
          <w:tcPr>
            <w:tcW w:w="4203" w:type="dxa"/>
          </w:tcPr>
          <w:p w14:paraId="6920FEEF" w14:textId="2DB05804" w:rsidR="00603260" w:rsidRPr="003703AE" w:rsidRDefault="00603260" w:rsidP="005E1A5A">
            <w:pPr>
              <w:rPr>
                <w:rFonts w:cs="Arial"/>
              </w:rPr>
            </w:pPr>
            <w:r>
              <w:rPr>
                <w:rFonts w:cs="Arial"/>
              </w:rPr>
              <w:t>31 December 2020 to 31 December 2022</w:t>
            </w:r>
          </w:p>
        </w:tc>
        <w:tc>
          <w:tcPr>
            <w:tcW w:w="4053" w:type="dxa"/>
          </w:tcPr>
          <w:p w14:paraId="5768C0DA" w14:textId="77777777" w:rsidR="00603260" w:rsidRDefault="00603260" w:rsidP="005E1A5A">
            <w:r>
              <w:t xml:space="preserve">Second Term </w:t>
            </w:r>
          </w:p>
          <w:p w14:paraId="31E10618" w14:textId="31DC595C" w:rsidR="00603260" w:rsidRDefault="00603260" w:rsidP="005E1A5A">
            <w:proofErr w:type="gramStart"/>
            <w:r>
              <w:t>Two year</w:t>
            </w:r>
            <w:proofErr w:type="gramEnd"/>
            <w:r>
              <w:t xml:space="preserve"> operational review completed with approved amendments to include institutional child physical and psychological abuse and expand membership to </w:t>
            </w:r>
            <w:r w:rsidR="00294E29">
              <w:t xml:space="preserve">include </w:t>
            </w:r>
            <w:r>
              <w:t xml:space="preserve">young people with lived experience </w:t>
            </w:r>
            <w:r w:rsidR="00294E29">
              <w:t xml:space="preserve">in out-of-home care </w:t>
            </w:r>
            <w:r>
              <w:t xml:space="preserve">and people with experience of youth detention. </w:t>
            </w:r>
          </w:p>
        </w:tc>
      </w:tr>
      <w:tr w:rsidR="005E1A5A" w14:paraId="03502560" w14:textId="77777777" w:rsidTr="005E1A5A">
        <w:tc>
          <w:tcPr>
            <w:tcW w:w="754" w:type="dxa"/>
          </w:tcPr>
          <w:p w14:paraId="78494BF1" w14:textId="3B70F4AA" w:rsidR="005E1A5A" w:rsidRDefault="005E1A5A" w:rsidP="005E1A5A">
            <w:r>
              <w:t>2</w:t>
            </w:r>
          </w:p>
        </w:tc>
        <w:tc>
          <w:tcPr>
            <w:tcW w:w="4203" w:type="dxa"/>
          </w:tcPr>
          <w:p w14:paraId="2EF3454D" w14:textId="2C11E444" w:rsidR="005E1A5A" w:rsidRDefault="005E1A5A" w:rsidP="005E1A5A">
            <w:r w:rsidRPr="003703AE">
              <w:rPr>
                <w:rFonts w:cs="Arial"/>
              </w:rPr>
              <w:t>1 January 2021 to 31 December 2022</w:t>
            </w:r>
          </w:p>
        </w:tc>
        <w:tc>
          <w:tcPr>
            <w:tcW w:w="4053" w:type="dxa"/>
          </w:tcPr>
          <w:p w14:paraId="4925F8BD" w14:textId="77777777" w:rsidR="00603260" w:rsidRDefault="00603260" w:rsidP="005E1A5A">
            <w:r>
              <w:t xml:space="preserve">Third Term </w:t>
            </w:r>
          </w:p>
          <w:p w14:paraId="45B6726A" w14:textId="4EF8A191" w:rsidR="005E1A5A" w:rsidRDefault="005E1A5A" w:rsidP="005E1A5A">
            <w:proofErr w:type="gramStart"/>
            <w:r>
              <w:t>12 month</w:t>
            </w:r>
            <w:proofErr w:type="gramEnd"/>
            <w:r>
              <w:t xml:space="preserve"> extension requested due to impacts of Covid-19 on </w:t>
            </w:r>
            <w:r w:rsidR="00294E29">
              <w:t xml:space="preserve">the </w:t>
            </w:r>
            <w:r w:rsidR="00C1655B">
              <w:t>Taskforces workplan</w:t>
            </w:r>
            <w:r w:rsidR="00294E29">
              <w:t xml:space="preserve"> and Listening Tour.</w:t>
            </w:r>
          </w:p>
        </w:tc>
      </w:tr>
    </w:tbl>
    <w:p w14:paraId="6936C477" w14:textId="77777777" w:rsidR="005E1A5A" w:rsidRDefault="005E1A5A" w:rsidP="00F41A66">
      <w:pPr>
        <w:pStyle w:val="Heading2"/>
        <w:spacing w:before="0"/>
      </w:pPr>
    </w:p>
    <w:p w14:paraId="71B18B88" w14:textId="48150392" w:rsidR="00F41A66" w:rsidRPr="00771901" w:rsidRDefault="00F41A66" w:rsidP="00F41A66">
      <w:pPr>
        <w:pStyle w:val="Heading2"/>
        <w:spacing w:before="0"/>
      </w:pPr>
      <w:r w:rsidRPr="00771901">
        <w:t xml:space="preserve">Meetings </w:t>
      </w:r>
    </w:p>
    <w:p w14:paraId="6DAE9838" w14:textId="77777777" w:rsidR="005E1A5A" w:rsidRPr="005E1A5A" w:rsidRDefault="00F41A66" w:rsidP="005E1A5A">
      <w:pPr>
        <w:spacing w:after="0" w:line="240" w:lineRule="auto"/>
        <w:rPr>
          <w:rFonts w:cs="Arial"/>
        </w:rPr>
      </w:pPr>
      <w:r w:rsidRPr="005E1A5A">
        <w:rPr>
          <w:rFonts w:cs="Arial"/>
        </w:rPr>
        <w:t>The Taskforce will meet at least four times a year, and additionally as required.</w:t>
      </w:r>
      <w:r w:rsidR="005E1A5A" w:rsidRPr="005E1A5A">
        <w:rPr>
          <w:rFonts w:cs="Arial"/>
        </w:rPr>
        <w:t xml:space="preserve"> Five members of the Taskforce will constitute a quorum for a meeting. </w:t>
      </w:r>
    </w:p>
    <w:p w14:paraId="08660481" w14:textId="77777777" w:rsidR="005E1A5A" w:rsidRDefault="005E1A5A" w:rsidP="005E1A5A">
      <w:pPr>
        <w:spacing w:after="0" w:line="240" w:lineRule="auto"/>
        <w:rPr>
          <w:rFonts w:cs="Arial"/>
        </w:rPr>
      </w:pPr>
    </w:p>
    <w:p w14:paraId="675D8123" w14:textId="43BB6D89" w:rsidR="00F41A66" w:rsidRPr="005E1A5A" w:rsidRDefault="00F41A66" w:rsidP="005E1A5A">
      <w:pPr>
        <w:spacing w:after="0" w:line="240" w:lineRule="auto"/>
        <w:rPr>
          <w:rFonts w:cs="Arial"/>
        </w:rPr>
      </w:pPr>
      <w:r w:rsidRPr="005E1A5A">
        <w:rPr>
          <w:rFonts w:cs="Arial"/>
        </w:rPr>
        <w:t xml:space="preserve">As the members of the Taskforce will be selected </w:t>
      </w:r>
      <w:proofErr w:type="gramStart"/>
      <w:r w:rsidRPr="005E1A5A">
        <w:rPr>
          <w:rFonts w:cs="Arial"/>
        </w:rPr>
        <w:t>on the basis of</w:t>
      </w:r>
      <w:proofErr w:type="gramEnd"/>
      <w:r w:rsidRPr="005E1A5A">
        <w:rPr>
          <w:rFonts w:cs="Arial"/>
        </w:rPr>
        <w:t xml:space="preserve"> their personal experience and expertise relevant to the work of the Taskforce, proxy arrangements will not be established.</w:t>
      </w:r>
    </w:p>
    <w:p w14:paraId="7772DCBA" w14:textId="77777777" w:rsidR="00F41A66" w:rsidRPr="00771901" w:rsidRDefault="00F41A66" w:rsidP="00F41A66">
      <w:pPr>
        <w:spacing w:after="0" w:line="240" w:lineRule="auto"/>
      </w:pPr>
    </w:p>
    <w:p w14:paraId="0C8AB765" w14:textId="77777777" w:rsidR="00F41A66" w:rsidRPr="00771901" w:rsidRDefault="00F41A66" w:rsidP="00F41A66">
      <w:pPr>
        <w:pStyle w:val="Heading2"/>
        <w:spacing w:before="0"/>
      </w:pPr>
      <w:r w:rsidRPr="00771901">
        <w:t xml:space="preserve">Budget and remuneration  </w:t>
      </w:r>
    </w:p>
    <w:p w14:paraId="632C16F1" w14:textId="77777777" w:rsidR="00F41A66" w:rsidRPr="00771901" w:rsidRDefault="00F41A66" w:rsidP="00F41A66">
      <w:pPr>
        <w:spacing w:after="0" w:line="240" w:lineRule="auto"/>
      </w:pPr>
      <w:r w:rsidRPr="00771901">
        <w:t xml:space="preserve">The Queensland Government will meet the costs of providing secretariat support to the Taskforce and the reasonable out-of-pocket expenses incurred by members attending meetings, such as travel and accommodation. </w:t>
      </w:r>
    </w:p>
    <w:p w14:paraId="2D791935" w14:textId="77777777" w:rsidR="00F41A66" w:rsidRPr="00771901" w:rsidRDefault="00F41A66" w:rsidP="00F41A66">
      <w:pPr>
        <w:spacing w:after="0" w:line="240" w:lineRule="auto"/>
      </w:pPr>
    </w:p>
    <w:p w14:paraId="19C8D12F" w14:textId="77777777" w:rsidR="00F41A66" w:rsidRPr="00771901" w:rsidRDefault="00F41A66" w:rsidP="00F41A66">
      <w:pPr>
        <w:spacing w:after="0" w:line="240" w:lineRule="auto"/>
      </w:pPr>
      <w:r w:rsidRPr="00771901">
        <w:lastRenderedPageBreak/>
        <w:t xml:space="preserve">The Chair and members will receive sitting fees for attendance at meetings as specified in the </w:t>
      </w:r>
      <w:r w:rsidRPr="00771901">
        <w:rPr>
          <w:i/>
        </w:rPr>
        <w:t>Remuneration Procedures for Part-time Chairs and Members of Queensland Government Bodies</w:t>
      </w:r>
      <w:r w:rsidRPr="00771901">
        <w:t xml:space="preserve">. </w:t>
      </w:r>
    </w:p>
    <w:p w14:paraId="480DC420" w14:textId="77777777" w:rsidR="00F41A66" w:rsidRPr="00771901" w:rsidRDefault="00F41A66" w:rsidP="00F41A66">
      <w:pPr>
        <w:pStyle w:val="Heading2"/>
        <w:spacing w:before="0"/>
      </w:pPr>
    </w:p>
    <w:p w14:paraId="5329E77A" w14:textId="77777777" w:rsidR="00F41A66" w:rsidRPr="00771901" w:rsidRDefault="00F41A66" w:rsidP="00F41A66">
      <w:pPr>
        <w:pStyle w:val="Heading2"/>
        <w:spacing w:before="0"/>
      </w:pPr>
      <w:r w:rsidRPr="00771901">
        <w:t xml:space="preserve">Confidentiality </w:t>
      </w:r>
    </w:p>
    <w:p w14:paraId="61B708D7" w14:textId="335B21B3" w:rsidR="00F41A66" w:rsidRDefault="00F41A66" w:rsidP="00603260">
      <w:pPr>
        <w:spacing w:after="0" w:line="240" w:lineRule="auto"/>
      </w:pPr>
      <w:r w:rsidRPr="00771901">
        <w:t>All discussions at Taskforce meetings will be treated as confidential by members.</w:t>
      </w:r>
    </w:p>
    <w:p w14:paraId="4A28AAB1" w14:textId="77777777" w:rsidR="00C1655B" w:rsidRPr="00771901" w:rsidRDefault="00C1655B" w:rsidP="00603260">
      <w:pPr>
        <w:spacing w:after="0" w:line="240" w:lineRule="auto"/>
      </w:pPr>
    </w:p>
    <w:p w14:paraId="45DB0BDA" w14:textId="77777777" w:rsidR="00F41A66" w:rsidRPr="00771901" w:rsidRDefault="00F41A66" w:rsidP="00F41A66">
      <w:pPr>
        <w:pStyle w:val="Heading2"/>
        <w:spacing w:before="0"/>
      </w:pPr>
      <w:r w:rsidRPr="00771901">
        <w:t xml:space="preserve">Dispute resolution </w:t>
      </w:r>
    </w:p>
    <w:p w14:paraId="029551C1" w14:textId="77777777" w:rsidR="00F41A66" w:rsidRPr="00771901" w:rsidRDefault="00F41A66" w:rsidP="00F41A66">
      <w:pPr>
        <w:spacing w:after="0" w:line="240" w:lineRule="auto"/>
      </w:pPr>
      <w:r w:rsidRPr="00771901">
        <w:t xml:space="preserve">Where any dispute arises on the majority views of the Taskforce relating to key issues or advice, the alternative views will be noted by the Chair in reporting to the Minister. </w:t>
      </w:r>
    </w:p>
    <w:p w14:paraId="356E0DCA" w14:textId="77777777" w:rsidR="00F41A66" w:rsidRPr="00771901" w:rsidRDefault="00F41A66" w:rsidP="00F41A66">
      <w:pPr>
        <w:pStyle w:val="Heading2"/>
        <w:spacing w:before="0"/>
      </w:pPr>
    </w:p>
    <w:p w14:paraId="5A13CC76" w14:textId="77777777" w:rsidR="00F41A66" w:rsidRPr="00771901" w:rsidRDefault="00F41A66" w:rsidP="00F41A66">
      <w:pPr>
        <w:pStyle w:val="Heading2"/>
        <w:spacing w:before="0"/>
      </w:pPr>
      <w:r w:rsidRPr="00771901">
        <w:t xml:space="preserve">Variation to the Terms of Reference  </w:t>
      </w:r>
    </w:p>
    <w:p w14:paraId="68A721B9" w14:textId="53BBBEDD" w:rsidR="005C092E" w:rsidRDefault="00F41A66" w:rsidP="008611D5">
      <w:r w:rsidRPr="00771901">
        <w:t>The Terms of Reference may be amended by the Minister with approval from the Premier.</w:t>
      </w:r>
      <w:r>
        <w:t xml:space="preserve"> </w:t>
      </w:r>
    </w:p>
    <w:p w14:paraId="369F1B98" w14:textId="77777777" w:rsidR="00E626AB" w:rsidRDefault="00E626AB">
      <w:pPr>
        <w:spacing w:after="0" w:line="240" w:lineRule="auto"/>
        <w:rPr>
          <w:rFonts w:eastAsiaTheme="majorEastAsia" w:cstheme="majorBidi"/>
          <w:b/>
          <w:bCs/>
          <w:color w:val="000000" w:themeColor="text1"/>
          <w:sz w:val="28"/>
          <w:szCs w:val="26"/>
        </w:rPr>
      </w:pPr>
      <w:r>
        <w:br w:type="page"/>
      </w:r>
    </w:p>
    <w:p w14:paraId="5F4A9822" w14:textId="5A98E53C" w:rsidR="00FC375B" w:rsidRPr="00F34A27" w:rsidRDefault="00FC375B" w:rsidP="00FC375B">
      <w:pPr>
        <w:pStyle w:val="Heading2"/>
        <w:spacing w:before="0"/>
        <w:rPr>
          <w:highlight w:val="yellow"/>
        </w:rPr>
      </w:pPr>
      <w:r>
        <w:lastRenderedPageBreak/>
        <w:t xml:space="preserve">Schedule 1: </w:t>
      </w:r>
      <w:r w:rsidRPr="009A0AC4">
        <w:t xml:space="preserve">Amendment to the Terms of Reference </w:t>
      </w:r>
    </w:p>
    <w:p w14:paraId="4BBB3641" w14:textId="77777777" w:rsidR="00FC375B" w:rsidRPr="00F34A27" w:rsidRDefault="00FC375B" w:rsidP="00FC375B">
      <w:pPr>
        <w:spacing w:after="0" w:line="240" w:lineRule="auto"/>
        <w:rPr>
          <w:highlight w:val="yellow"/>
        </w:rPr>
      </w:pPr>
    </w:p>
    <w:p w14:paraId="681D36A6" w14:textId="77777777" w:rsidR="00FC375B" w:rsidRDefault="00FC375B" w:rsidP="00FC375B">
      <w:pPr>
        <w:spacing w:after="0" w:line="240" w:lineRule="auto"/>
      </w:pPr>
      <w:r w:rsidRPr="009A0AC4">
        <w:t>On 14 December 2019</w:t>
      </w:r>
      <w:r>
        <w:t xml:space="preserve">, </w:t>
      </w:r>
      <w:r w:rsidRPr="009A0AC4">
        <w:t>the Premier approved an amendment to the Terms of Reference to specifically include institutional child physical and psychological abuse within the work of the Taskforce.</w:t>
      </w:r>
    </w:p>
    <w:p w14:paraId="43C672BE" w14:textId="77777777" w:rsidR="00FC375B" w:rsidRDefault="00FC375B" w:rsidP="00FC375B">
      <w:pPr>
        <w:spacing w:after="0" w:line="240" w:lineRule="auto"/>
      </w:pPr>
    </w:p>
    <w:p w14:paraId="2F2CC734" w14:textId="77777777" w:rsidR="00FC375B" w:rsidRDefault="00FC375B" w:rsidP="00FC375B">
      <w:pPr>
        <w:spacing w:after="0" w:line="240" w:lineRule="auto"/>
      </w:pPr>
      <w:r>
        <w:t xml:space="preserve">On 4 March 2021, the Premier approved amendments to expand membership to include representation from a youth organisation and reflect Machinery-of-Government changes that have occurred. </w:t>
      </w:r>
    </w:p>
    <w:p w14:paraId="63E2EA1C" w14:textId="77777777" w:rsidR="00FC375B" w:rsidRDefault="00FC375B" w:rsidP="00FC375B">
      <w:pPr>
        <w:spacing w:after="0" w:line="240" w:lineRule="auto"/>
      </w:pPr>
    </w:p>
    <w:p w14:paraId="133C144F" w14:textId="77777777" w:rsidR="00FC375B" w:rsidRPr="00FF7722" w:rsidRDefault="00FC375B" w:rsidP="00FC375B">
      <w:pPr>
        <w:spacing w:after="0" w:line="240" w:lineRule="auto"/>
        <w:rPr>
          <w:rFonts w:cs="Arial"/>
        </w:rPr>
      </w:pPr>
      <w:r>
        <w:t>On 20 January 2023, the Premier approved the extension of the Taskforce for a further twelve-month period. Additionally, amendments were approved to remove the oversight of a grants fund for reconciliation and healing events and memorials due to the end of the funding round.</w:t>
      </w:r>
    </w:p>
    <w:p w14:paraId="14363EEA" w14:textId="77777777" w:rsidR="005E1A5A" w:rsidRDefault="005E1A5A" w:rsidP="005E1A5A">
      <w:pPr>
        <w:spacing w:after="0" w:line="240" w:lineRule="auto"/>
      </w:pPr>
    </w:p>
    <w:sectPr w:rsidR="005E1A5A" w:rsidSect="005C092E">
      <w:headerReference w:type="default" r:id="rId8"/>
      <w:footerReference w:type="even" r:id="rId9"/>
      <w:footerReference w:type="default" r:id="rId10"/>
      <w:headerReference w:type="first" r:id="rId11"/>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DC16" w14:textId="77777777" w:rsidR="00C83C8F" w:rsidRDefault="00C83C8F" w:rsidP="005F0FB2">
      <w:pPr>
        <w:spacing w:after="0" w:line="240" w:lineRule="auto"/>
      </w:pPr>
      <w:r>
        <w:separator/>
      </w:r>
    </w:p>
  </w:endnote>
  <w:endnote w:type="continuationSeparator" w:id="0">
    <w:p w14:paraId="25D9C08E" w14:textId="77777777" w:rsidR="00C83C8F" w:rsidRDefault="00C83C8F"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1D5">
      <w:rPr>
        <w:rStyle w:val="PageNumber"/>
        <w:noProof/>
      </w:rPr>
      <w:t>5</w:t>
    </w:r>
    <w:r>
      <w:rPr>
        <w:rStyle w:val="PageNumber"/>
      </w:rPr>
      <w:fldChar w:fldCharType="end"/>
    </w:r>
  </w:p>
  <w:p w14:paraId="71A2E3B7"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F532" w14:textId="77777777" w:rsidR="00C83C8F" w:rsidRDefault="00C83C8F" w:rsidP="005F0FB2">
      <w:pPr>
        <w:spacing w:after="0" w:line="240" w:lineRule="auto"/>
      </w:pPr>
      <w:r>
        <w:separator/>
      </w:r>
    </w:p>
  </w:footnote>
  <w:footnote w:type="continuationSeparator" w:id="0">
    <w:p w14:paraId="5EACB8BF" w14:textId="77777777" w:rsidR="00C83C8F" w:rsidRDefault="00C83C8F"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091CD05B" w:rsidR="005C092E" w:rsidRDefault="00F41A66">
    <w:pPr>
      <w:pStyle w:val="Header"/>
    </w:pPr>
    <w:r>
      <w:t>Truth, Healing and Reconciliation Taskforce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72202710" w:rsidR="005F0FB2" w:rsidRDefault="00203D66">
    <w:pPr>
      <w:pStyle w:val="Header"/>
    </w:pPr>
    <w:r>
      <w:rPr>
        <w:noProof/>
        <w:lang w:val="en-AU" w:eastAsia="en-AU"/>
      </w:rPr>
      <w:drawing>
        <wp:anchor distT="0" distB="0" distL="114300" distR="114300" simplePos="0" relativeHeight="251658240" behindDoc="1" locked="0" layoutInCell="1" allowOverlap="1" wp14:anchorId="56879296" wp14:editId="7418520B">
          <wp:simplePos x="0" y="0"/>
          <wp:positionH relativeFrom="column">
            <wp:posOffset>-908050</wp:posOffset>
          </wp:positionH>
          <wp:positionV relativeFrom="paragraph">
            <wp:posOffset>-460865</wp:posOffset>
          </wp:positionV>
          <wp:extent cx="7553874" cy="10674266"/>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Report Port A4-1.jpg"/>
                  <pic:cNvPicPr/>
                </pic:nvPicPr>
                <pic:blipFill>
                  <a:blip r:embed="rId1"/>
                  <a:stretch>
                    <a:fillRect/>
                  </a:stretch>
                </pic:blipFill>
                <pic:spPr>
                  <a:xfrm>
                    <a:off x="0" y="0"/>
                    <a:ext cx="7553874" cy="106742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3C"/>
    <w:multiLevelType w:val="hybridMultilevel"/>
    <w:tmpl w:val="13981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37585"/>
    <w:multiLevelType w:val="hybridMultilevel"/>
    <w:tmpl w:val="80D4C3A6"/>
    <w:lvl w:ilvl="0" w:tplc="5930E6A8">
      <w:start w:val="1"/>
      <w:numFmt w:val="decimal"/>
      <w:lvlText w:val="%1."/>
      <w:lvlJc w:val="left"/>
      <w:pPr>
        <w:ind w:left="360" w:hanging="360"/>
      </w:pPr>
    </w:lvl>
    <w:lvl w:ilvl="1" w:tplc="82347530">
      <w:start w:val="1"/>
      <w:numFmt w:val="lowerLetter"/>
      <w:lvlText w:val="%2."/>
      <w:lvlJc w:val="left"/>
      <w:pPr>
        <w:ind w:left="1080" w:hanging="360"/>
      </w:pPr>
    </w:lvl>
    <w:lvl w:ilvl="2" w:tplc="426C9154">
      <w:start w:val="1"/>
      <w:numFmt w:val="lowerRoman"/>
      <w:lvlText w:val="%3."/>
      <w:lvlJc w:val="right"/>
      <w:pPr>
        <w:ind w:left="1800" w:hanging="180"/>
      </w:pPr>
    </w:lvl>
    <w:lvl w:ilvl="3" w:tplc="EF88BC4C" w:tentative="1">
      <w:start w:val="1"/>
      <w:numFmt w:val="decimal"/>
      <w:lvlText w:val="%4."/>
      <w:lvlJc w:val="left"/>
      <w:pPr>
        <w:ind w:left="2520" w:hanging="360"/>
      </w:pPr>
    </w:lvl>
    <w:lvl w:ilvl="4" w:tplc="682CCE58" w:tentative="1">
      <w:start w:val="1"/>
      <w:numFmt w:val="lowerLetter"/>
      <w:lvlText w:val="%5."/>
      <w:lvlJc w:val="left"/>
      <w:pPr>
        <w:ind w:left="3240" w:hanging="360"/>
      </w:pPr>
    </w:lvl>
    <w:lvl w:ilvl="5" w:tplc="851022E4" w:tentative="1">
      <w:start w:val="1"/>
      <w:numFmt w:val="lowerRoman"/>
      <w:lvlText w:val="%6."/>
      <w:lvlJc w:val="right"/>
      <w:pPr>
        <w:ind w:left="3960" w:hanging="180"/>
      </w:pPr>
    </w:lvl>
    <w:lvl w:ilvl="6" w:tplc="C84ECAAE" w:tentative="1">
      <w:start w:val="1"/>
      <w:numFmt w:val="decimal"/>
      <w:lvlText w:val="%7."/>
      <w:lvlJc w:val="left"/>
      <w:pPr>
        <w:ind w:left="4680" w:hanging="360"/>
      </w:pPr>
    </w:lvl>
    <w:lvl w:ilvl="7" w:tplc="ECCCD9BA" w:tentative="1">
      <w:start w:val="1"/>
      <w:numFmt w:val="lowerLetter"/>
      <w:lvlText w:val="%8."/>
      <w:lvlJc w:val="left"/>
      <w:pPr>
        <w:ind w:left="5400" w:hanging="360"/>
      </w:pPr>
    </w:lvl>
    <w:lvl w:ilvl="8" w:tplc="68F86D64" w:tentative="1">
      <w:start w:val="1"/>
      <w:numFmt w:val="lowerRoman"/>
      <w:lvlText w:val="%9."/>
      <w:lvlJc w:val="right"/>
      <w:pPr>
        <w:ind w:left="6120" w:hanging="180"/>
      </w:pPr>
    </w:lvl>
  </w:abstractNum>
  <w:abstractNum w:abstractNumId="2" w15:restartNumberingAfterBreak="0">
    <w:nsid w:val="1FF1136F"/>
    <w:multiLevelType w:val="hybridMultilevel"/>
    <w:tmpl w:val="4F388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4E0366"/>
    <w:multiLevelType w:val="hybridMultilevel"/>
    <w:tmpl w:val="FC389B92"/>
    <w:lvl w:ilvl="0" w:tplc="729C51FE">
      <w:start w:val="1"/>
      <w:numFmt w:val="bullet"/>
      <w:lvlText w:val=""/>
      <w:lvlJc w:val="left"/>
      <w:pPr>
        <w:ind w:left="360" w:hanging="360"/>
      </w:pPr>
      <w:rPr>
        <w:rFonts w:ascii="Symbol" w:hAnsi="Symbol" w:hint="default"/>
      </w:rPr>
    </w:lvl>
    <w:lvl w:ilvl="1" w:tplc="12047920" w:tentative="1">
      <w:start w:val="1"/>
      <w:numFmt w:val="bullet"/>
      <w:lvlText w:val="o"/>
      <w:lvlJc w:val="left"/>
      <w:pPr>
        <w:ind w:left="1080" w:hanging="360"/>
      </w:pPr>
      <w:rPr>
        <w:rFonts w:ascii="Courier New" w:hAnsi="Courier New" w:cs="Courier New" w:hint="default"/>
      </w:rPr>
    </w:lvl>
    <w:lvl w:ilvl="2" w:tplc="2C12214E" w:tentative="1">
      <w:start w:val="1"/>
      <w:numFmt w:val="bullet"/>
      <w:lvlText w:val=""/>
      <w:lvlJc w:val="left"/>
      <w:pPr>
        <w:ind w:left="1800" w:hanging="360"/>
      </w:pPr>
      <w:rPr>
        <w:rFonts w:ascii="Wingdings" w:hAnsi="Wingdings" w:hint="default"/>
      </w:rPr>
    </w:lvl>
    <w:lvl w:ilvl="3" w:tplc="024A28C0" w:tentative="1">
      <w:start w:val="1"/>
      <w:numFmt w:val="bullet"/>
      <w:lvlText w:val=""/>
      <w:lvlJc w:val="left"/>
      <w:pPr>
        <w:ind w:left="2520" w:hanging="360"/>
      </w:pPr>
      <w:rPr>
        <w:rFonts w:ascii="Symbol" w:hAnsi="Symbol" w:hint="default"/>
      </w:rPr>
    </w:lvl>
    <w:lvl w:ilvl="4" w:tplc="C8B8B8D0" w:tentative="1">
      <w:start w:val="1"/>
      <w:numFmt w:val="bullet"/>
      <w:lvlText w:val="o"/>
      <w:lvlJc w:val="left"/>
      <w:pPr>
        <w:ind w:left="3240" w:hanging="360"/>
      </w:pPr>
      <w:rPr>
        <w:rFonts w:ascii="Courier New" w:hAnsi="Courier New" w:cs="Courier New" w:hint="default"/>
      </w:rPr>
    </w:lvl>
    <w:lvl w:ilvl="5" w:tplc="914C8B98" w:tentative="1">
      <w:start w:val="1"/>
      <w:numFmt w:val="bullet"/>
      <w:lvlText w:val=""/>
      <w:lvlJc w:val="left"/>
      <w:pPr>
        <w:ind w:left="3960" w:hanging="360"/>
      </w:pPr>
      <w:rPr>
        <w:rFonts w:ascii="Wingdings" w:hAnsi="Wingdings" w:hint="default"/>
      </w:rPr>
    </w:lvl>
    <w:lvl w:ilvl="6" w:tplc="B1EC583A" w:tentative="1">
      <w:start w:val="1"/>
      <w:numFmt w:val="bullet"/>
      <w:lvlText w:val=""/>
      <w:lvlJc w:val="left"/>
      <w:pPr>
        <w:ind w:left="4680" w:hanging="360"/>
      </w:pPr>
      <w:rPr>
        <w:rFonts w:ascii="Symbol" w:hAnsi="Symbol" w:hint="default"/>
      </w:rPr>
    </w:lvl>
    <w:lvl w:ilvl="7" w:tplc="189201DE" w:tentative="1">
      <w:start w:val="1"/>
      <w:numFmt w:val="bullet"/>
      <w:lvlText w:val="o"/>
      <w:lvlJc w:val="left"/>
      <w:pPr>
        <w:ind w:left="5400" w:hanging="360"/>
      </w:pPr>
      <w:rPr>
        <w:rFonts w:ascii="Courier New" w:hAnsi="Courier New" w:cs="Courier New" w:hint="default"/>
      </w:rPr>
    </w:lvl>
    <w:lvl w:ilvl="8" w:tplc="E7CABBF8" w:tentative="1">
      <w:start w:val="1"/>
      <w:numFmt w:val="bullet"/>
      <w:lvlText w:val=""/>
      <w:lvlJc w:val="left"/>
      <w:pPr>
        <w:ind w:left="6120" w:hanging="360"/>
      </w:pPr>
      <w:rPr>
        <w:rFonts w:ascii="Wingdings" w:hAnsi="Wingdings" w:hint="default"/>
      </w:rPr>
    </w:lvl>
  </w:abstractNum>
  <w:abstractNum w:abstractNumId="4" w15:restartNumberingAfterBreak="0">
    <w:nsid w:val="29920B8B"/>
    <w:multiLevelType w:val="hybridMultilevel"/>
    <w:tmpl w:val="55BEEDD6"/>
    <w:lvl w:ilvl="0" w:tplc="17BCC706">
      <w:start w:val="1"/>
      <w:numFmt w:val="bullet"/>
      <w:lvlText w:val=""/>
      <w:lvlJc w:val="left"/>
      <w:pPr>
        <w:ind w:left="360" w:hanging="360"/>
      </w:pPr>
      <w:rPr>
        <w:rFonts w:ascii="Symbol" w:hAnsi="Symbol" w:hint="default"/>
      </w:rPr>
    </w:lvl>
    <w:lvl w:ilvl="1" w:tplc="D6FE84C2">
      <w:start w:val="1"/>
      <w:numFmt w:val="bullet"/>
      <w:lvlText w:val=""/>
      <w:lvlJc w:val="left"/>
      <w:pPr>
        <w:ind w:left="786" w:hanging="360"/>
      </w:pPr>
      <w:rPr>
        <w:rFonts w:ascii="Symbol" w:hAnsi="Symbol" w:hint="default"/>
      </w:rPr>
    </w:lvl>
    <w:lvl w:ilvl="2" w:tplc="A3962246" w:tentative="1">
      <w:start w:val="1"/>
      <w:numFmt w:val="bullet"/>
      <w:lvlText w:val=""/>
      <w:lvlJc w:val="left"/>
      <w:pPr>
        <w:ind w:left="1800" w:hanging="360"/>
      </w:pPr>
      <w:rPr>
        <w:rFonts w:ascii="Wingdings" w:hAnsi="Wingdings" w:hint="default"/>
      </w:rPr>
    </w:lvl>
    <w:lvl w:ilvl="3" w:tplc="242064A4" w:tentative="1">
      <w:start w:val="1"/>
      <w:numFmt w:val="bullet"/>
      <w:lvlText w:val=""/>
      <w:lvlJc w:val="left"/>
      <w:pPr>
        <w:ind w:left="2520" w:hanging="360"/>
      </w:pPr>
      <w:rPr>
        <w:rFonts w:ascii="Symbol" w:hAnsi="Symbol" w:hint="default"/>
      </w:rPr>
    </w:lvl>
    <w:lvl w:ilvl="4" w:tplc="7E46B5D8" w:tentative="1">
      <w:start w:val="1"/>
      <w:numFmt w:val="bullet"/>
      <w:lvlText w:val="o"/>
      <w:lvlJc w:val="left"/>
      <w:pPr>
        <w:ind w:left="3240" w:hanging="360"/>
      </w:pPr>
      <w:rPr>
        <w:rFonts w:ascii="Courier New" w:hAnsi="Courier New" w:cs="Courier New" w:hint="default"/>
      </w:rPr>
    </w:lvl>
    <w:lvl w:ilvl="5" w:tplc="92F07E22" w:tentative="1">
      <w:start w:val="1"/>
      <w:numFmt w:val="bullet"/>
      <w:lvlText w:val=""/>
      <w:lvlJc w:val="left"/>
      <w:pPr>
        <w:ind w:left="3960" w:hanging="360"/>
      </w:pPr>
      <w:rPr>
        <w:rFonts w:ascii="Wingdings" w:hAnsi="Wingdings" w:hint="default"/>
      </w:rPr>
    </w:lvl>
    <w:lvl w:ilvl="6" w:tplc="53D0D460" w:tentative="1">
      <w:start w:val="1"/>
      <w:numFmt w:val="bullet"/>
      <w:lvlText w:val=""/>
      <w:lvlJc w:val="left"/>
      <w:pPr>
        <w:ind w:left="4680" w:hanging="360"/>
      </w:pPr>
      <w:rPr>
        <w:rFonts w:ascii="Symbol" w:hAnsi="Symbol" w:hint="default"/>
      </w:rPr>
    </w:lvl>
    <w:lvl w:ilvl="7" w:tplc="03983F30" w:tentative="1">
      <w:start w:val="1"/>
      <w:numFmt w:val="bullet"/>
      <w:lvlText w:val="o"/>
      <w:lvlJc w:val="left"/>
      <w:pPr>
        <w:ind w:left="5400" w:hanging="360"/>
      </w:pPr>
      <w:rPr>
        <w:rFonts w:ascii="Courier New" w:hAnsi="Courier New" w:cs="Courier New" w:hint="default"/>
      </w:rPr>
    </w:lvl>
    <w:lvl w:ilvl="8" w:tplc="803C267A" w:tentative="1">
      <w:start w:val="1"/>
      <w:numFmt w:val="bullet"/>
      <w:lvlText w:val=""/>
      <w:lvlJc w:val="left"/>
      <w:pPr>
        <w:ind w:left="6120" w:hanging="360"/>
      </w:pPr>
      <w:rPr>
        <w:rFonts w:ascii="Wingdings" w:hAnsi="Wingdings" w:hint="default"/>
      </w:rPr>
    </w:lvl>
  </w:abstractNum>
  <w:abstractNum w:abstractNumId="5" w15:restartNumberingAfterBreak="0">
    <w:nsid w:val="421B5059"/>
    <w:multiLevelType w:val="hybridMultilevel"/>
    <w:tmpl w:val="A6B26692"/>
    <w:lvl w:ilvl="0" w:tplc="58E239DC">
      <w:start w:val="1"/>
      <w:numFmt w:val="bullet"/>
      <w:lvlText w:val=""/>
      <w:lvlJc w:val="left"/>
      <w:pPr>
        <w:ind w:left="360" w:hanging="360"/>
      </w:pPr>
      <w:rPr>
        <w:rFonts w:ascii="Symbol" w:hAnsi="Symbol" w:hint="default"/>
        <w:sz w:val="22"/>
        <w:szCs w:val="22"/>
      </w:rPr>
    </w:lvl>
    <w:lvl w:ilvl="1" w:tplc="27D47A60" w:tentative="1">
      <w:start w:val="1"/>
      <w:numFmt w:val="bullet"/>
      <w:lvlText w:val="o"/>
      <w:lvlJc w:val="left"/>
      <w:pPr>
        <w:ind w:left="1080" w:hanging="360"/>
      </w:pPr>
      <w:rPr>
        <w:rFonts w:ascii="Courier New" w:hAnsi="Courier New" w:cs="Courier New" w:hint="default"/>
      </w:rPr>
    </w:lvl>
    <w:lvl w:ilvl="2" w:tplc="4AFE7C40" w:tentative="1">
      <w:start w:val="1"/>
      <w:numFmt w:val="bullet"/>
      <w:lvlText w:val=""/>
      <w:lvlJc w:val="left"/>
      <w:pPr>
        <w:ind w:left="1800" w:hanging="360"/>
      </w:pPr>
      <w:rPr>
        <w:rFonts w:ascii="Wingdings" w:hAnsi="Wingdings" w:hint="default"/>
      </w:rPr>
    </w:lvl>
    <w:lvl w:ilvl="3" w:tplc="42567096" w:tentative="1">
      <w:start w:val="1"/>
      <w:numFmt w:val="bullet"/>
      <w:lvlText w:val=""/>
      <w:lvlJc w:val="left"/>
      <w:pPr>
        <w:ind w:left="2520" w:hanging="360"/>
      </w:pPr>
      <w:rPr>
        <w:rFonts w:ascii="Symbol" w:hAnsi="Symbol" w:hint="default"/>
      </w:rPr>
    </w:lvl>
    <w:lvl w:ilvl="4" w:tplc="84484542" w:tentative="1">
      <w:start w:val="1"/>
      <w:numFmt w:val="bullet"/>
      <w:lvlText w:val="o"/>
      <w:lvlJc w:val="left"/>
      <w:pPr>
        <w:ind w:left="3240" w:hanging="360"/>
      </w:pPr>
      <w:rPr>
        <w:rFonts w:ascii="Courier New" w:hAnsi="Courier New" w:cs="Courier New" w:hint="default"/>
      </w:rPr>
    </w:lvl>
    <w:lvl w:ilvl="5" w:tplc="7D165662" w:tentative="1">
      <w:start w:val="1"/>
      <w:numFmt w:val="bullet"/>
      <w:lvlText w:val=""/>
      <w:lvlJc w:val="left"/>
      <w:pPr>
        <w:ind w:left="3960" w:hanging="360"/>
      </w:pPr>
      <w:rPr>
        <w:rFonts w:ascii="Wingdings" w:hAnsi="Wingdings" w:hint="default"/>
      </w:rPr>
    </w:lvl>
    <w:lvl w:ilvl="6" w:tplc="6130D554" w:tentative="1">
      <w:start w:val="1"/>
      <w:numFmt w:val="bullet"/>
      <w:lvlText w:val=""/>
      <w:lvlJc w:val="left"/>
      <w:pPr>
        <w:ind w:left="4680" w:hanging="360"/>
      </w:pPr>
      <w:rPr>
        <w:rFonts w:ascii="Symbol" w:hAnsi="Symbol" w:hint="default"/>
      </w:rPr>
    </w:lvl>
    <w:lvl w:ilvl="7" w:tplc="7EB69E1A" w:tentative="1">
      <w:start w:val="1"/>
      <w:numFmt w:val="bullet"/>
      <w:lvlText w:val="o"/>
      <w:lvlJc w:val="left"/>
      <w:pPr>
        <w:ind w:left="5400" w:hanging="360"/>
      </w:pPr>
      <w:rPr>
        <w:rFonts w:ascii="Courier New" w:hAnsi="Courier New" w:cs="Courier New" w:hint="default"/>
      </w:rPr>
    </w:lvl>
    <w:lvl w:ilvl="8" w:tplc="FB7A1BD2" w:tentative="1">
      <w:start w:val="1"/>
      <w:numFmt w:val="bullet"/>
      <w:lvlText w:val=""/>
      <w:lvlJc w:val="left"/>
      <w:pPr>
        <w:ind w:left="6120" w:hanging="360"/>
      </w:pPr>
      <w:rPr>
        <w:rFonts w:ascii="Wingdings" w:hAnsi="Wingdings" w:hint="default"/>
      </w:rPr>
    </w:lvl>
  </w:abstractNum>
  <w:abstractNum w:abstractNumId="6" w15:restartNumberingAfterBreak="0">
    <w:nsid w:val="447C056D"/>
    <w:multiLevelType w:val="hybridMultilevel"/>
    <w:tmpl w:val="E0B62D04"/>
    <w:lvl w:ilvl="0" w:tplc="5C7C9770">
      <w:start w:val="1"/>
      <w:numFmt w:val="bullet"/>
      <w:lvlText w:val=""/>
      <w:lvlJc w:val="left"/>
      <w:pPr>
        <w:ind w:left="360" w:hanging="360"/>
      </w:pPr>
      <w:rPr>
        <w:rFonts w:ascii="Symbol" w:hAnsi="Symbol" w:hint="default"/>
      </w:rPr>
    </w:lvl>
    <w:lvl w:ilvl="1" w:tplc="26D887F0">
      <w:start w:val="1"/>
      <w:numFmt w:val="bullet"/>
      <w:lvlText w:val="-"/>
      <w:lvlJc w:val="left"/>
      <w:pPr>
        <w:ind w:left="710" w:hanging="360"/>
      </w:pPr>
      <w:rPr>
        <w:rFonts w:ascii="Courier New" w:hAnsi="Courier New" w:hint="default"/>
      </w:rPr>
    </w:lvl>
    <w:lvl w:ilvl="2" w:tplc="A41AFC68" w:tentative="1">
      <w:start w:val="1"/>
      <w:numFmt w:val="bullet"/>
      <w:lvlText w:val=""/>
      <w:lvlJc w:val="left"/>
      <w:pPr>
        <w:ind w:left="1800" w:hanging="360"/>
      </w:pPr>
      <w:rPr>
        <w:rFonts w:ascii="Wingdings" w:hAnsi="Wingdings" w:hint="default"/>
      </w:rPr>
    </w:lvl>
    <w:lvl w:ilvl="3" w:tplc="A664F3DE" w:tentative="1">
      <w:start w:val="1"/>
      <w:numFmt w:val="bullet"/>
      <w:lvlText w:val=""/>
      <w:lvlJc w:val="left"/>
      <w:pPr>
        <w:ind w:left="2520" w:hanging="360"/>
      </w:pPr>
      <w:rPr>
        <w:rFonts w:ascii="Symbol" w:hAnsi="Symbol" w:hint="default"/>
      </w:rPr>
    </w:lvl>
    <w:lvl w:ilvl="4" w:tplc="1742B8C6" w:tentative="1">
      <w:start w:val="1"/>
      <w:numFmt w:val="bullet"/>
      <w:lvlText w:val="o"/>
      <w:lvlJc w:val="left"/>
      <w:pPr>
        <w:ind w:left="3240" w:hanging="360"/>
      </w:pPr>
      <w:rPr>
        <w:rFonts w:ascii="Courier New" w:hAnsi="Courier New" w:cs="Courier New" w:hint="default"/>
      </w:rPr>
    </w:lvl>
    <w:lvl w:ilvl="5" w:tplc="15D872CA" w:tentative="1">
      <w:start w:val="1"/>
      <w:numFmt w:val="bullet"/>
      <w:lvlText w:val=""/>
      <w:lvlJc w:val="left"/>
      <w:pPr>
        <w:ind w:left="3960" w:hanging="360"/>
      </w:pPr>
      <w:rPr>
        <w:rFonts w:ascii="Wingdings" w:hAnsi="Wingdings" w:hint="default"/>
      </w:rPr>
    </w:lvl>
    <w:lvl w:ilvl="6" w:tplc="2F6A6904" w:tentative="1">
      <w:start w:val="1"/>
      <w:numFmt w:val="bullet"/>
      <w:lvlText w:val=""/>
      <w:lvlJc w:val="left"/>
      <w:pPr>
        <w:ind w:left="4680" w:hanging="360"/>
      </w:pPr>
      <w:rPr>
        <w:rFonts w:ascii="Symbol" w:hAnsi="Symbol" w:hint="default"/>
      </w:rPr>
    </w:lvl>
    <w:lvl w:ilvl="7" w:tplc="1BE47556" w:tentative="1">
      <w:start w:val="1"/>
      <w:numFmt w:val="bullet"/>
      <w:lvlText w:val="o"/>
      <w:lvlJc w:val="left"/>
      <w:pPr>
        <w:ind w:left="5400" w:hanging="360"/>
      </w:pPr>
      <w:rPr>
        <w:rFonts w:ascii="Courier New" w:hAnsi="Courier New" w:cs="Courier New" w:hint="default"/>
      </w:rPr>
    </w:lvl>
    <w:lvl w:ilvl="8" w:tplc="D6F2BED0" w:tentative="1">
      <w:start w:val="1"/>
      <w:numFmt w:val="bullet"/>
      <w:lvlText w:val=""/>
      <w:lvlJc w:val="left"/>
      <w:pPr>
        <w:ind w:left="6120" w:hanging="360"/>
      </w:pPr>
      <w:rPr>
        <w:rFonts w:ascii="Wingdings" w:hAnsi="Wingdings" w:hint="default"/>
      </w:rPr>
    </w:lvl>
  </w:abstractNum>
  <w:abstractNum w:abstractNumId="7" w15:restartNumberingAfterBreak="0">
    <w:nsid w:val="59804C35"/>
    <w:multiLevelType w:val="hybridMultilevel"/>
    <w:tmpl w:val="80D4C3A6"/>
    <w:lvl w:ilvl="0" w:tplc="9DFC3458">
      <w:start w:val="1"/>
      <w:numFmt w:val="decimal"/>
      <w:lvlText w:val="%1."/>
      <w:lvlJc w:val="left"/>
      <w:pPr>
        <w:ind w:left="360" w:hanging="360"/>
      </w:pPr>
    </w:lvl>
    <w:lvl w:ilvl="1" w:tplc="86ACE95C">
      <w:start w:val="1"/>
      <w:numFmt w:val="lowerLetter"/>
      <w:lvlText w:val="%2."/>
      <w:lvlJc w:val="left"/>
      <w:pPr>
        <w:ind w:left="1080" w:hanging="360"/>
      </w:pPr>
    </w:lvl>
    <w:lvl w:ilvl="2" w:tplc="105011CC" w:tentative="1">
      <w:start w:val="1"/>
      <w:numFmt w:val="lowerRoman"/>
      <w:lvlText w:val="%3."/>
      <w:lvlJc w:val="right"/>
      <w:pPr>
        <w:ind w:left="1800" w:hanging="180"/>
      </w:pPr>
    </w:lvl>
    <w:lvl w:ilvl="3" w:tplc="06984C80" w:tentative="1">
      <w:start w:val="1"/>
      <w:numFmt w:val="decimal"/>
      <w:lvlText w:val="%4."/>
      <w:lvlJc w:val="left"/>
      <w:pPr>
        <w:ind w:left="2520" w:hanging="360"/>
      </w:pPr>
    </w:lvl>
    <w:lvl w:ilvl="4" w:tplc="58F65DC8" w:tentative="1">
      <w:start w:val="1"/>
      <w:numFmt w:val="lowerLetter"/>
      <w:lvlText w:val="%5."/>
      <w:lvlJc w:val="left"/>
      <w:pPr>
        <w:ind w:left="3240" w:hanging="360"/>
      </w:pPr>
    </w:lvl>
    <w:lvl w:ilvl="5" w:tplc="5546BE88" w:tentative="1">
      <w:start w:val="1"/>
      <w:numFmt w:val="lowerRoman"/>
      <w:lvlText w:val="%6."/>
      <w:lvlJc w:val="right"/>
      <w:pPr>
        <w:ind w:left="3960" w:hanging="180"/>
      </w:pPr>
    </w:lvl>
    <w:lvl w:ilvl="6" w:tplc="D75A2C9A" w:tentative="1">
      <w:start w:val="1"/>
      <w:numFmt w:val="decimal"/>
      <w:lvlText w:val="%7."/>
      <w:lvlJc w:val="left"/>
      <w:pPr>
        <w:ind w:left="4680" w:hanging="360"/>
      </w:pPr>
    </w:lvl>
    <w:lvl w:ilvl="7" w:tplc="56381F22" w:tentative="1">
      <w:start w:val="1"/>
      <w:numFmt w:val="lowerLetter"/>
      <w:lvlText w:val="%8."/>
      <w:lvlJc w:val="left"/>
      <w:pPr>
        <w:ind w:left="5400" w:hanging="360"/>
      </w:pPr>
    </w:lvl>
    <w:lvl w:ilvl="8" w:tplc="C818F976" w:tentative="1">
      <w:start w:val="1"/>
      <w:numFmt w:val="lowerRoman"/>
      <w:lvlText w:val="%9."/>
      <w:lvlJc w:val="right"/>
      <w:pPr>
        <w:ind w:left="6120" w:hanging="180"/>
      </w:pPr>
    </w:lvl>
  </w:abstractNum>
  <w:abstractNum w:abstractNumId="8" w15:restartNumberingAfterBreak="0">
    <w:nsid w:val="7F6F22CC"/>
    <w:multiLevelType w:val="hybridMultilevel"/>
    <w:tmpl w:val="38A201FA"/>
    <w:lvl w:ilvl="0" w:tplc="C0CCE092">
      <w:start w:val="1"/>
      <w:numFmt w:val="bullet"/>
      <w:lvlText w:val=""/>
      <w:lvlJc w:val="left"/>
      <w:pPr>
        <w:ind w:left="720" w:hanging="360"/>
      </w:pPr>
      <w:rPr>
        <w:rFonts w:ascii="Symbol" w:hAnsi="Symbol" w:hint="default"/>
      </w:rPr>
    </w:lvl>
    <w:lvl w:ilvl="1" w:tplc="F2FEC58E">
      <w:start w:val="1"/>
      <w:numFmt w:val="bullet"/>
      <w:lvlText w:val="o"/>
      <w:lvlJc w:val="left"/>
      <w:pPr>
        <w:ind w:left="1440" w:hanging="360"/>
      </w:pPr>
      <w:rPr>
        <w:rFonts w:ascii="Courier New" w:hAnsi="Courier New" w:cs="Courier New" w:hint="default"/>
      </w:rPr>
    </w:lvl>
    <w:lvl w:ilvl="2" w:tplc="72AE11EA" w:tentative="1">
      <w:start w:val="1"/>
      <w:numFmt w:val="bullet"/>
      <w:lvlText w:val=""/>
      <w:lvlJc w:val="left"/>
      <w:pPr>
        <w:ind w:left="2160" w:hanging="360"/>
      </w:pPr>
      <w:rPr>
        <w:rFonts w:ascii="Wingdings" w:hAnsi="Wingdings" w:hint="default"/>
      </w:rPr>
    </w:lvl>
    <w:lvl w:ilvl="3" w:tplc="AB64AAF2" w:tentative="1">
      <w:start w:val="1"/>
      <w:numFmt w:val="bullet"/>
      <w:lvlText w:val=""/>
      <w:lvlJc w:val="left"/>
      <w:pPr>
        <w:ind w:left="2880" w:hanging="360"/>
      </w:pPr>
      <w:rPr>
        <w:rFonts w:ascii="Symbol" w:hAnsi="Symbol" w:hint="default"/>
      </w:rPr>
    </w:lvl>
    <w:lvl w:ilvl="4" w:tplc="ABBA9622" w:tentative="1">
      <w:start w:val="1"/>
      <w:numFmt w:val="bullet"/>
      <w:lvlText w:val="o"/>
      <w:lvlJc w:val="left"/>
      <w:pPr>
        <w:ind w:left="3600" w:hanging="360"/>
      </w:pPr>
      <w:rPr>
        <w:rFonts w:ascii="Courier New" w:hAnsi="Courier New" w:cs="Courier New" w:hint="default"/>
      </w:rPr>
    </w:lvl>
    <w:lvl w:ilvl="5" w:tplc="25B4AEF4" w:tentative="1">
      <w:start w:val="1"/>
      <w:numFmt w:val="bullet"/>
      <w:lvlText w:val=""/>
      <w:lvlJc w:val="left"/>
      <w:pPr>
        <w:ind w:left="4320" w:hanging="360"/>
      </w:pPr>
      <w:rPr>
        <w:rFonts w:ascii="Wingdings" w:hAnsi="Wingdings" w:hint="default"/>
      </w:rPr>
    </w:lvl>
    <w:lvl w:ilvl="6" w:tplc="4AC283FC" w:tentative="1">
      <w:start w:val="1"/>
      <w:numFmt w:val="bullet"/>
      <w:lvlText w:val=""/>
      <w:lvlJc w:val="left"/>
      <w:pPr>
        <w:ind w:left="5040" w:hanging="360"/>
      </w:pPr>
      <w:rPr>
        <w:rFonts w:ascii="Symbol" w:hAnsi="Symbol" w:hint="default"/>
      </w:rPr>
    </w:lvl>
    <w:lvl w:ilvl="7" w:tplc="E2241DD6" w:tentative="1">
      <w:start w:val="1"/>
      <w:numFmt w:val="bullet"/>
      <w:lvlText w:val="o"/>
      <w:lvlJc w:val="left"/>
      <w:pPr>
        <w:ind w:left="5760" w:hanging="360"/>
      </w:pPr>
      <w:rPr>
        <w:rFonts w:ascii="Courier New" w:hAnsi="Courier New" w:cs="Courier New" w:hint="default"/>
      </w:rPr>
    </w:lvl>
    <w:lvl w:ilvl="8" w:tplc="EFA2A54C" w:tentative="1">
      <w:start w:val="1"/>
      <w:numFmt w:val="bullet"/>
      <w:lvlText w:val=""/>
      <w:lvlJc w:val="left"/>
      <w:pPr>
        <w:ind w:left="6480" w:hanging="360"/>
      </w:pPr>
      <w:rPr>
        <w:rFonts w:ascii="Wingdings" w:hAnsi="Wingdings" w:hint="default"/>
      </w:rPr>
    </w:lvl>
  </w:abstractNum>
  <w:num w:numId="1" w16cid:durableId="1060060190">
    <w:abstractNumId w:val="1"/>
  </w:num>
  <w:num w:numId="2" w16cid:durableId="500002507">
    <w:abstractNumId w:val="5"/>
  </w:num>
  <w:num w:numId="3" w16cid:durableId="425884921">
    <w:abstractNumId w:val="6"/>
  </w:num>
  <w:num w:numId="4" w16cid:durableId="555552750">
    <w:abstractNumId w:val="4"/>
  </w:num>
  <w:num w:numId="5" w16cid:durableId="568996669">
    <w:abstractNumId w:val="3"/>
  </w:num>
  <w:num w:numId="6" w16cid:durableId="133182086">
    <w:abstractNumId w:val="7"/>
  </w:num>
  <w:num w:numId="7" w16cid:durableId="485973506">
    <w:abstractNumId w:val="8"/>
  </w:num>
  <w:num w:numId="8" w16cid:durableId="1244492362">
    <w:abstractNumId w:val="2"/>
  </w:num>
  <w:num w:numId="9" w16cid:durableId="126985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2"/>
    <w:rsid w:val="000B78D4"/>
    <w:rsid w:val="00165363"/>
    <w:rsid w:val="001B535B"/>
    <w:rsid w:val="001F3933"/>
    <w:rsid w:val="00203D66"/>
    <w:rsid w:val="00294E29"/>
    <w:rsid w:val="002B03BE"/>
    <w:rsid w:val="002B1ED4"/>
    <w:rsid w:val="002C7933"/>
    <w:rsid w:val="00320927"/>
    <w:rsid w:val="003341A0"/>
    <w:rsid w:val="00440DCB"/>
    <w:rsid w:val="0049492B"/>
    <w:rsid w:val="00495264"/>
    <w:rsid w:val="004B0CC2"/>
    <w:rsid w:val="005A4732"/>
    <w:rsid w:val="005C092E"/>
    <w:rsid w:val="005E1A5A"/>
    <w:rsid w:val="005F0FB2"/>
    <w:rsid w:val="00603260"/>
    <w:rsid w:val="006766BC"/>
    <w:rsid w:val="007165CD"/>
    <w:rsid w:val="007178B1"/>
    <w:rsid w:val="00790E9E"/>
    <w:rsid w:val="008611D5"/>
    <w:rsid w:val="008D56E4"/>
    <w:rsid w:val="00982F82"/>
    <w:rsid w:val="00A16269"/>
    <w:rsid w:val="00A9394B"/>
    <w:rsid w:val="00AC653E"/>
    <w:rsid w:val="00AD152A"/>
    <w:rsid w:val="00B437A9"/>
    <w:rsid w:val="00BE6E10"/>
    <w:rsid w:val="00C1655B"/>
    <w:rsid w:val="00C538E5"/>
    <w:rsid w:val="00C83C8F"/>
    <w:rsid w:val="00CC59B0"/>
    <w:rsid w:val="00CD7756"/>
    <w:rsid w:val="00CF0091"/>
    <w:rsid w:val="00D37F4E"/>
    <w:rsid w:val="00D40134"/>
    <w:rsid w:val="00DD5D78"/>
    <w:rsid w:val="00E626AB"/>
    <w:rsid w:val="00F41A66"/>
    <w:rsid w:val="00F8226A"/>
    <w:rsid w:val="00FC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ListParagraph">
    <w:name w:val="List Paragraph"/>
    <w:basedOn w:val="Normal"/>
    <w:uiPriority w:val="34"/>
    <w:qFormat/>
    <w:rsid w:val="00F41A66"/>
    <w:pPr>
      <w:spacing w:after="160" w:line="259" w:lineRule="auto"/>
      <w:ind w:left="720"/>
      <w:contextualSpacing/>
    </w:pPr>
    <w:rPr>
      <w:rFonts w:asciiTheme="minorHAnsi" w:eastAsiaTheme="minorHAnsi" w:hAnsiTheme="minorHAnsi"/>
      <w:szCs w:val="22"/>
      <w:lang w:val="en-AU"/>
    </w:rPr>
  </w:style>
  <w:style w:type="table" w:styleId="TableGrid">
    <w:name w:val="Table Grid"/>
    <w:basedOn w:val="TableNormal"/>
    <w:uiPriority w:val="59"/>
    <w:rsid w:val="005E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1A5A"/>
    <w:rPr>
      <w:sz w:val="16"/>
      <w:szCs w:val="16"/>
    </w:rPr>
  </w:style>
  <w:style w:type="paragraph" w:styleId="CommentText">
    <w:name w:val="annotation text"/>
    <w:basedOn w:val="Normal"/>
    <w:link w:val="CommentTextChar"/>
    <w:uiPriority w:val="99"/>
    <w:semiHidden/>
    <w:unhideWhenUsed/>
    <w:rsid w:val="005E1A5A"/>
    <w:pPr>
      <w:spacing w:line="240" w:lineRule="auto"/>
    </w:pPr>
    <w:rPr>
      <w:sz w:val="20"/>
      <w:szCs w:val="20"/>
    </w:rPr>
  </w:style>
  <w:style w:type="character" w:customStyle="1" w:styleId="CommentTextChar">
    <w:name w:val="Comment Text Char"/>
    <w:basedOn w:val="DefaultParagraphFont"/>
    <w:link w:val="CommentText"/>
    <w:uiPriority w:val="99"/>
    <w:semiHidden/>
    <w:rsid w:val="005E1A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5A"/>
    <w:rPr>
      <w:b/>
      <w:bCs/>
    </w:rPr>
  </w:style>
  <w:style w:type="character" w:customStyle="1" w:styleId="CommentSubjectChar">
    <w:name w:val="Comment Subject Char"/>
    <w:basedOn w:val="CommentTextChar"/>
    <w:link w:val="CommentSubject"/>
    <w:uiPriority w:val="99"/>
    <w:semiHidden/>
    <w:rsid w:val="005E1A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0344-BF3B-4A67-8256-7D2C30D4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7321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Terms of Reference</vt:lpstr>
    </vt:vector>
  </TitlesOfParts>
  <Manager/>
  <Company/>
  <LinksUpToDate>false</LinksUpToDate>
  <CharactersWithSpaces>8588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2023-04-05T02:16:00Z</dcterms:created>
  <dc:creator>Queensland Government</dc:creator>
  <cp:keywords>thr, truth, healing, reconciliation, taskforce, terms, reference, 2023</cp:keywords>
  <cp:lastModifiedBy>Kimberly Munson</cp:lastModifiedBy>
  <cp:lastPrinted>2023-02-07T02:35:00Z</cp:lastPrinted>
  <dcterms:modified xsi:type="dcterms:W3CDTF">2023-04-05T02:16:00Z</dcterms:modified>
  <cp:revision>2</cp:revision>
  <dc:subject>THR Terms of Reference</dc:subject>
  <dc:title>Terms of Reference</dc:title>
</cp:coreProperties>
</file>