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3CCC" w14:textId="77777777" w:rsidR="005F1AD9" w:rsidRDefault="005F1AD9" w:rsidP="00C162B8"/>
    <w:p w14:paraId="0830364E" w14:textId="5D19C50E" w:rsidR="005F1AD9" w:rsidRPr="000943C1" w:rsidRDefault="003A308C" w:rsidP="00C162B8">
      <w:pPr>
        <w:pStyle w:val="Heading1"/>
        <w:spacing w:line="240" w:lineRule="auto"/>
      </w:pPr>
      <w:r>
        <w:t>Making a Human Rights Complaint</w:t>
      </w:r>
    </w:p>
    <w:p w14:paraId="55A5EC3B" w14:textId="77777777" w:rsidR="003A308C" w:rsidRDefault="003A308C" w:rsidP="003A308C">
      <w:pPr>
        <w:pStyle w:val="BodyText"/>
        <w:rPr>
          <w:rFonts w:eastAsia="Arial"/>
        </w:rPr>
      </w:pPr>
      <w:r>
        <w:rPr>
          <w:rFonts w:eastAsia="Arial"/>
        </w:rPr>
        <w:t>On 1 January 2020 Queensland’s Human Rights legislation commenced. The main objects of the Human Rights Act are to:</w:t>
      </w:r>
    </w:p>
    <w:p w14:paraId="596487B9" w14:textId="77777777" w:rsidR="003A308C" w:rsidRPr="00281D7D" w:rsidRDefault="003A308C" w:rsidP="003A308C">
      <w:pPr>
        <w:pStyle w:val="ListBullet"/>
        <w:rPr>
          <w:rFonts w:eastAsia="Arial"/>
          <w:sz w:val="22"/>
          <w:szCs w:val="22"/>
        </w:rPr>
      </w:pPr>
      <w:r w:rsidRPr="00281D7D">
        <w:rPr>
          <w:rFonts w:eastAsia="Arial"/>
          <w:sz w:val="22"/>
          <w:szCs w:val="22"/>
        </w:rPr>
        <w:t>protect and promote human rights</w:t>
      </w:r>
    </w:p>
    <w:p w14:paraId="00B79A74" w14:textId="77777777" w:rsidR="003A308C" w:rsidRPr="00281D7D" w:rsidRDefault="003A308C" w:rsidP="003A308C">
      <w:pPr>
        <w:pStyle w:val="ListBullet"/>
        <w:rPr>
          <w:rFonts w:eastAsia="Arial"/>
          <w:sz w:val="22"/>
          <w:szCs w:val="22"/>
        </w:rPr>
      </w:pPr>
      <w:r w:rsidRPr="00281D7D">
        <w:rPr>
          <w:rFonts w:eastAsia="Arial"/>
          <w:sz w:val="22"/>
          <w:szCs w:val="22"/>
        </w:rPr>
        <w:t>help build a culture in the Queensland public sector that respects and promotes human rights</w:t>
      </w:r>
    </w:p>
    <w:p w14:paraId="1EAD0A3E"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help promote a dialogue about the nature, meaning and scope of human rights.</w:t>
      </w:r>
    </w:p>
    <w:p w14:paraId="638E46E2" w14:textId="3CDFA0ED" w:rsidR="00C9668D" w:rsidRPr="00281D7D" w:rsidRDefault="003A308C" w:rsidP="00BB73D6">
      <w:pPr>
        <w:pStyle w:val="Heading3"/>
        <w:rPr>
          <w:b/>
          <w:bCs/>
          <w:color w:val="auto"/>
          <w:sz w:val="24"/>
          <w:szCs w:val="24"/>
        </w:rPr>
      </w:pPr>
      <w:r w:rsidRPr="00281D7D">
        <w:rPr>
          <w:b/>
          <w:bCs/>
          <w:color w:val="auto"/>
          <w:sz w:val="24"/>
          <w:szCs w:val="24"/>
        </w:rPr>
        <w:t>Protected Human Rights</w:t>
      </w:r>
    </w:p>
    <w:p w14:paraId="27367DAF" w14:textId="77777777" w:rsidR="003A308C" w:rsidRPr="00281D7D" w:rsidRDefault="003A308C" w:rsidP="003A308C">
      <w:pPr>
        <w:pStyle w:val="BodyText"/>
        <w:rPr>
          <w:rFonts w:eastAsia="Arial"/>
          <w:sz w:val="22"/>
          <w:szCs w:val="22"/>
        </w:rPr>
      </w:pPr>
      <w:r w:rsidRPr="00281D7D">
        <w:rPr>
          <w:rFonts w:eastAsia="Arial"/>
          <w:sz w:val="22"/>
          <w:szCs w:val="22"/>
        </w:rPr>
        <w:t>The Act protects fundamental human rights drawn from international human rights law:</w:t>
      </w:r>
    </w:p>
    <w:p w14:paraId="708058D2" w14:textId="77777777" w:rsidR="003A308C" w:rsidRPr="00281D7D" w:rsidRDefault="003A308C" w:rsidP="003A308C">
      <w:pPr>
        <w:pStyle w:val="ListBullet"/>
        <w:rPr>
          <w:rFonts w:eastAsia="Arial"/>
          <w:sz w:val="22"/>
          <w:szCs w:val="22"/>
        </w:rPr>
      </w:pPr>
      <w:r w:rsidRPr="00281D7D">
        <w:rPr>
          <w:rFonts w:eastAsia="Arial"/>
          <w:sz w:val="22"/>
          <w:szCs w:val="22"/>
        </w:rPr>
        <w:t>Recognition and equality before the law</w:t>
      </w:r>
    </w:p>
    <w:p w14:paraId="06DC5D9D"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Right to life</w:t>
      </w:r>
    </w:p>
    <w:p w14:paraId="4F00041C" w14:textId="77777777" w:rsidR="003A308C" w:rsidRPr="00281D7D" w:rsidRDefault="003A308C" w:rsidP="003A308C">
      <w:pPr>
        <w:pStyle w:val="ListBullet"/>
        <w:rPr>
          <w:rFonts w:eastAsia="Arial"/>
          <w:sz w:val="22"/>
          <w:szCs w:val="22"/>
        </w:rPr>
      </w:pPr>
      <w:r w:rsidRPr="00281D7D">
        <w:rPr>
          <w:rFonts w:eastAsia="Arial"/>
          <w:sz w:val="22"/>
          <w:szCs w:val="22"/>
        </w:rPr>
        <w:t xml:space="preserve">Protection from torture and cruel, </w:t>
      </w:r>
      <w:proofErr w:type="gramStart"/>
      <w:r w:rsidRPr="00281D7D">
        <w:rPr>
          <w:rFonts w:eastAsia="Arial"/>
          <w:sz w:val="22"/>
          <w:szCs w:val="22"/>
        </w:rPr>
        <w:t>inhuman</w:t>
      </w:r>
      <w:proofErr w:type="gramEnd"/>
      <w:r w:rsidRPr="00281D7D">
        <w:rPr>
          <w:rFonts w:eastAsia="Arial"/>
          <w:sz w:val="22"/>
          <w:szCs w:val="22"/>
        </w:rPr>
        <w:t xml:space="preserve"> or degrading treatment</w:t>
      </w:r>
    </w:p>
    <w:p w14:paraId="4EAA893A" w14:textId="77777777" w:rsidR="003A308C" w:rsidRPr="00281D7D" w:rsidRDefault="003A308C" w:rsidP="003A308C">
      <w:pPr>
        <w:pStyle w:val="ListBullet"/>
        <w:rPr>
          <w:rFonts w:eastAsia="Arial"/>
          <w:sz w:val="22"/>
          <w:szCs w:val="22"/>
        </w:rPr>
      </w:pPr>
      <w:r w:rsidRPr="00281D7D">
        <w:rPr>
          <w:rFonts w:eastAsia="Arial"/>
          <w:sz w:val="22"/>
          <w:szCs w:val="22"/>
        </w:rPr>
        <w:t>Freedom from forced work</w:t>
      </w:r>
    </w:p>
    <w:p w14:paraId="7F5F54DA" w14:textId="77777777" w:rsidR="003A308C" w:rsidRPr="00281D7D" w:rsidRDefault="003A308C" w:rsidP="003A308C">
      <w:pPr>
        <w:pStyle w:val="ListBullet"/>
        <w:rPr>
          <w:rFonts w:eastAsia="Arial"/>
          <w:sz w:val="22"/>
          <w:szCs w:val="22"/>
        </w:rPr>
      </w:pPr>
      <w:r w:rsidRPr="00281D7D">
        <w:rPr>
          <w:rFonts w:eastAsia="Arial"/>
          <w:sz w:val="22"/>
          <w:szCs w:val="22"/>
        </w:rPr>
        <w:t>Freedom of movement</w:t>
      </w:r>
    </w:p>
    <w:p w14:paraId="074726C9" w14:textId="77777777" w:rsidR="003A308C" w:rsidRPr="00281D7D" w:rsidRDefault="003A308C" w:rsidP="003A308C">
      <w:pPr>
        <w:pStyle w:val="ListBullet"/>
        <w:rPr>
          <w:rFonts w:eastAsia="Arial"/>
          <w:sz w:val="22"/>
          <w:szCs w:val="22"/>
        </w:rPr>
      </w:pPr>
      <w:r w:rsidRPr="00281D7D">
        <w:rPr>
          <w:rFonts w:eastAsia="Arial"/>
          <w:sz w:val="22"/>
          <w:szCs w:val="22"/>
        </w:rPr>
        <w:t xml:space="preserve">Freedom of thought, conscience, </w:t>
      </w:r>
      <w:proofErr w:type="gramStart"/>
      <w:r w:rsidRPr="00281D7D">
        <w:rPr>
          <w:rFonts w:eastAsia="Arial"/>
          <w:sz w:val="22"/>
          <w:szCs w:val="22"/>
        </w:rPr>
        <w:t>religion</w:t>
      </w:r>
      <w:proofErr w:type="gramEnd"/>
      <w:r w:rsidRPr="00281D7D">
        <w:rPr>
          <w:rFonts w:eastAsia="Arial"/>
          <w:sz w:val="22"/>
          <w:szCs w:val="22"/>
        </w:rPr>
        <w:t xml:space="preserve"> and belief</w:t>
      </w:r>
    </w:p>
    <w:p w14:paraId="4FA79C99" w14:textId="77777777" w:rsidR="003A308C" w:rsidRPr="00281D7D" w:rsidRDefault="003A308C" w:rsidP="003A308C">
      <w:pPr>
        <w:pStyle w:val="ListBullet"/>
        <w:rPr>
          <w:rFonts w:eastAsia="Arial"/>
          <w:sz w:val="22"/>
          <w:szCs w:val="22"/>
        </w:rPr>
      </w:pPr>
      <w:r w:rsidRPr="00281D7D">
        <w:rPr>
          <w:rFonts w:eastAsia="Arial"/>
          <w:sz w:val="22"/>
          <w:szCs w:val="22"/>
        </w:rPr>
        <w:t>Freedom of expression</w:t>
      </w:r>
    </w:p>
    <w:p w14:paraId="6C2F8088" w14:textId="77777777" w:rsidR="003A308C" w:rsidRPr="00281D7D" w:rsidRDefault="003A308C" w:rsidP="003A308C">
      <w:pPr>
        <w:pStyle w:val="ListBullet"/>
        <w:rPr>
          <w:rFonts w:eastAsia="Arial"/>
          <w:sz w:val="22"/>
          <w:szCs w:val="22"/>
        </w:rPr>
      </w:pPr>
      <w:r w:rsidRPr="00281D7D">
        <w:rPr>
          <w:rFonts w:eastAsia="Arial"/>
          <w:sz w:val="22"/>
          <w:szCs w:val="22"/>
        </w:rPr>
        <w:t>Peaceful assembly and freedom of association</w:t>
      </w:r>
    </w:p>
    <w:p w14:paraId="7562D145" w14:textId="77777777" w:rsidR="003A308C" w:rsidRPr="00281D7D" w:rsidRDefault="003A308C" w:rsidP="003A308C">
      <w:pPr>
        <w:pStyle w:val="ListBullet"/>
        <w:rPr>
          <w:rFonts w:eastAsia="Arial"/>
          <w:sz w:val="22"/>
          <w:szCs w:val="22"/>
        </w:rPr>
      </w:pPr>
      <w:r w:rsidRPr="00281D7D">
        <w:rPr>
          <w:rFonts w:eastAsia="Arial"/>
          <w:sz w:val="22"/>
          <w:szCs w:val="22"/>
        </w:rPr>
        <w:t>Taking part in public life</w:t>
      </w:r>
    </w:p>
    <w:p w14:paraId="6B034B9C" w14:textId="77777777" w:rsidR="003A308C" w:rsidRPr="00281D7D" w:rsidRDefault="003A308C" w:rsidP="003A308C">
      <w:pPr>
        <w:pStyle w:val="ListBullet"/>
        <w:rPr>
          <w:rFonts w:eastAsia="Arial"/>
          <w:sz w:val="22"/>
          <w:szCs w:val="22"/>
        </w:rPr>
      </w:pPr>
      <w:r w:rsidRPr="00281D7D">
        <w:rPr>
          <w:rFonts w:eastAsia="Arial"/>
          <w:sz w:val="22"/>
          <w:szCs w:val="22"/>
        </w:rPr>
        <w:t>Property rights</w:t>
      </w:r>
    </w:p>
    <w:p w14:paraId="78789023" w14:textId="77777777" w:rsidR="003A308C" w:rsidRPr="00281D7D" w:rsidRDefault="003A308C" w:rsidP="003A308C">
      <w:pPr>
        <w:pStyle w:val="ListBullet"/>
        <w:rPr>
          <w:rFonts w:eastAsia="Arial"/>
          <w:sz w:val="22"/>
          <w:szCs w:val="22"/>
        </w:rPr>
      </w:pPr>
      <w:r w:rsidRPr="00281D7D">
        <w:rPr>
          <w:rFonts w:eastAsia="Arial"/>
          <w:sz w:val="22"/>
          <w:szCs w:val="22"/>
        </w:rPr>
        <w:t>Privacy and reputation</w:t>
      </w:r>
    </w:p>
    <w:p w14:paraId="443E8148" w14:textId="77777777" w:rsidR="003A308C" w:rsidRPr="00281D7D" w:rsidRDefault="003A308C" w:rsidP="003A308C">
      <w:pPr>
        <w:pStyle w:val="ListBullet"/>
        <w:rPr>
          <w:rFonts w:eastAsia="Arial"/>
          <w:sz w:val="22"/>
          <w:szCs w:val="22"/>
        </w:rPr>
      </w:pPr>
      <w:r w:rsidRPr="00281D7D">
        <w:rPr>
          <w:rFonts w:eastAsia="Arial"/>
          <w:sz w:val="22"/>
          <w:szCs w:val="22"/>
        </w:rPr>
        <w:t>Protection of families and children</w:t>
      </w:r>
    </w:p>
    <w:p w14:paraId="2CF276A8" w14:textId="77777777" w:rsidR="003A308C" w:rsidRPr="00281D7D" w:rsidRDefault="003A308C" w:rsidP="003A308C">
      <w:pPr>
        <w:pStyle w:val="ListBullet"/>
        <w:rPr>
          <w:rFonts w:eastAsia="Arial"/>
          <w:sz w:val="22"/>
          <w:szCs w:val="22"/>
        </w:rPr>
      </w:pPr>
      <w:r w:rsidRPr="00281D7D">
        <w:rPr>
          <w:rFonts w:eastAsia="Arial"/>
          <w:sz w:val="22"/>
          <w:szCs w:val="22"/>
        </w:rPr>
        <w:t>Cultural rights - generally</w:t>
      </w:r>
    </w:p>
    <w:p w14:paraId="6CBEDA27" w14:textId="77777777" w:rsidR="003A308C" w:rsidRPr="00281D7D" w:rsidRDefault="003A308C" w:rsidP="003A308C">
      <w:pPr>
        <w:pStyle w:val="ListBullet"/>
        <w:rPr>
          <w:rFonts w:eastAsia="Arial"/>
          <w:sz w:val="22"/>
          <w:szCs w:val="22"/>
        </w:rPr>
      </w:pPr>
      <w:r w:rsidRPr="00281D7D">
        <w:rPr>
          <w:rFonts w:eastAsia="Arial"/>
          <w:sz w:val="22"/>
          <w:szCs w:val="22"/>
        </w:rPr>
        <w:t>Cultural rights - Aboriginal peoples and Torres Strait Islander peoples</w:t>
      </w:r>
    </w:p>
    <w:p w14:paraId="70C4032D" w14:textId="77777777" w:rsidR="003A308C" w:rsidRPr="00281D7D" w:rsidRDefault="003A308C" w:rsidP="003A308C">
      <w:pPr>
        <w:pStyle w:val="ListBullet"/>
        <w:rPr>
          <w:rFonts w:eastAsia="Arial"/>
          <w:sz w:val="22"/>
          <w:szCs w:val="22"/>
        </w:rPr>
      </w:pPr>
      <w:r w:rsidRPr="00281D7D">
        <w:rPr>
          <w:rFonts w:eastAsia="Arial"/>
          <w:sz w:val="22"/>
          <w:szCs w:val="22"/>
        </w:rPr>
        <w:t>Right to liberty and security of person</w:t>
      </w:r>
    </w:p>
    <w:p w14:paraId="2ABABCAD" w14:textId="77777777" w:rsidR="003A308C" w:rsidRPr="00281D7D" w:rsidRDefault="003A308C" w:rsidP="003A308C">
      <w:pPr>
        <w:pStyle w:val="ListBullet"/>
        <w:rPr>
          <w:rFonts w:eastAsia="Arial"/>
          <w:spacing w:val="-5"/>
          <w:sz w:val="22"/>
          <w:szCs w:val="22"/>
        </w:rPr>
      </w:pPr>
      <w:r w:rsidRPr="00281D7D">
        <w:rPr>
          <w:rFonts w:eastAsia="Arial"/>
          <w:spacing w:val="-5"/>
          <w:sz w:val="22"/>
          <w:szCs w:val="22"/>
        </w:rPr>
        <w:t>Humane treatment when deprived of liberty</w:t>
      </w:r>
    </w:p>
    <w:p w14:paraId="58E4FEE8" w14:textId="77777777" w:rsidR="003A308C" w:rsidRPr="00281D7D" w:rsidRDefault="003A308C" w:rsidP="003A308C">
      <w:pPr>
        <w:pStyle w:val="ListBullet"/>
        <w:rPr>
          <w:rFonts w:eastAsia="Arial"/>
          <w:spacing w:val="-2"/>
          <w:sz w:val="22"/>
          <w:szCs w:val="22"/>
        </w:rPr>
      </w:pPr>
      <w:r w:rsidRPr="00281D7D">
        <w:rPr>
          <w:rFonts w:eastAsia="Arial"/>
          <w:spacing w:val="-2"/>
          <w:sz w:val="22"/>
          <w:szCs w:val="22"/>
        </w:rPr>
        <w:t>Fair hearing</w:t>
      </w:r>
    </w:p>
    <w:p w14:paraId="6413DDC0" w14:textId="77777777" w:rsidR="003A308C" w:rsidRPr="00281D7D" w:rsidRDefault="003A308C" w:rsidP="003A308C">
      <w:pPr>
        <w:pStyle w:val="ListBullet"/>
        <w:rPr>
          <w:rFonts w:eastAsia="Arial"/>
          <w:sz w:val="22"/>
          <w:szCs w:val="22"/>
        </w:rPr>
      </w:pPr>
      <w:r w:rsidRPr="00281D7D">
        <w:rPr>
          <w:rFonts w:eastAsia="Arial"/>
          <w:sz w:val="22"/>
          <w:szCs w:val="22"/>
        </w:rPr>
        <w:t>Rights in criminal proceedings</w:t>
      </w:r>
    </w:p>
    <w:p w14:paraId="692EF5ED" w14:textId="77777777" w:rsidR="003A308C" w:rsidRPr="00281D7D" w:rsidRDefault="003A308C" w:rsidP="003A308C">
      <w:pPr>
        <w:pStyle w:val="ListBullet"/>
        <w:rPr>
          <w:rFonts w:eastAsia="Arial"/>
          <w:sz w:val="22"/>
          <w:szCs w:val="22"/>
        </w:rPr>
      </w:pPr>
      <w:r w:rsidRPr="00281D7D">
        <w:rPr>
          <w:rFonts w:eastAsia="Arial"/>
          <w:sz w:val="22"/>
          <w:szCs w:val="22"/>
        </w:rPr>
        <w:t>Children in the criminal process</w:t>
      </w:r>
    </w:p>
    <w:p w14:paraId="499D6382" w14:textId="77777777" w:rsidR="003A308C" w:rsidRPr="00281D7D" w:rsidRDefault="003A308C" w:rsidP="003A308C">
      <w:pPr>
        <w:pStyle w:val="ListBullet"/>
        <w:rPr>
          <w:rFonts w:eastAsia="Arial"/>
          <w:sz w:val="22"/>
          <w:szCs w:val="22"/>
        </w:rPr>
      </w:pPr>
      <w:r w:rsidRPr="00281D7D">
        <w:rPr>
          <w:rFonts w:eastAsia="Arial"/>
          <w:sz w:val="22"/>
          <w:szCs w:val="22"/>
        </w:rPr>
        <w:t>Right not to be tried or punished more than once</w:t>
      </w:r>
    </w:p>
    <w:p w14:paraId="35FF46F9" w14:textId="77777777" w:rsidR="003A308C" w:rsidRPr="00281D7D" w:rsidRDefault="003A308C" w:rsidP="003A308C">
      <w:pPr>
        <w:pStyle w:val="ListBullet"/>
        <w:rPr>
          <w:rFonts w:eastAsia="Arial"/>
          <w:sz w:val="22"/>
          <w:szCs w:val="22"/>
        </w:rPr>
      </w:pPr>
      <w:r w:rsidRPr="00281D7D">
        <w:rPr>
          <w:rFonts w:eastAsia="Arial"/>
          <w:sz w:val="22"/>
          <w:szCs w:val="22"/>
        </w:rPr>
        <w:t>Retrospective criminal laws</w:t>
      </w:r>
    </w:p>
    <w:p w14:paraId="1D5282A5" w14:textId="77777777" w:rsidR="003A308C" w:rsidRPr="00281D7D" w:rsidRDefault="003A308C" w:rsidP="003A308C">
      <w:pPr>
        <w:pStyle w:val="ListBullet"/>
        <w:rPr>
          <w:rFonts w:eastAsia="Arial"/>
          <w:sz w:val="22"/>
          <w:szCs w:val="22"/>
        </w:rPr>
      </w:pPr>
      <w:r w:rsidRPr="00281D7D">
        <w:rPr>
          <w:rFonts w:eastAsia="Arial"/>
          <w:sz w:val="22"/>
          <w:szCs w:val="22"/>
        </w:rPr>
        <w:t>Right to education</w:t>
      </w:r>
    </w:p>
    <w:p w14:paraId="016AB2A9" w14:textId="2BACC7B8" w:rsidR="003A308C" w:rsidRPr="00281D7D" w:rsidRDefault="003A308C" w:rsidP="003A308C">
      <w:pPr>
        <w:pStyle w:val="ListBullet"/>
        <w:rPr>
          <w:rFonts w:eastAsia="Arial"/>
          <w:sz w:val="22"/>
          <w:szCs w:val="22"/>
        </w:rPr>
      </w:pPr>
      <w:r w:rsidRPr="00281D7D">
        <w:rPr>
          <w:rFonts w:eastAsia="Arial"/>
          <w:sz w:val="22"/>
          <w:szCs w:val="22"/>
        </w:rPr>
        <w:t>Right to health services.</w:t>
      </w:r>
    </w:p>
    <w:p w14:paraId="48DC63FE" w14:textId="77777777" w:rsidR="003A308C" w:rsidRPr="00281D7D" w:rsidRDefault="003A308C" w:rsidP="003A308C">
      <w:pPr>
        <w:pStyle w:val="BodyText"/>
        <w:rPr>
          <w:rFonts w:eastAsia="Arial"/>
          <w:spacing w:val="-3"/>
          <w:sz w:val="22"/>
          <w:szCs w:val="22"/>
        </w:rPr>
      </w:pPr>
      <w:r w:rsidRPr="00281D7D">
        <w:rPr>
          <w:rFonts w:eastAsia="Arial"/>
          <w:spacing w:val="-3"/>
          <w:sz w:val="22"/>
          <w:szCs w:val="22"/>
        </w:rPr>
        <w:t>The Act requires government to consider human rights in all decision-making and action, and only limit human rights in certain circumstances and after careful consideration.</w:t>
      </w:r>
    </w:p>
    <w:p w14:paraId="1E76A674" w14:textId="412A4B6A" w:rsidR="003A308C" w:rsidRDefault="003A308C" w:rsidP="003A308C">
      <w:pPr>
        <w:pStyle w:val="BodyText"/>
        <w:rPr>
          <w:rFonts w:eastAsia="Arial"/>
          <w:sz w:val="22"/>
          <w:szCs w:val="22"/>
        </w:rPr>
      </w:pPr>
      <w:r w:rsidRPr="00281D7D">
        <w:rPr>
          <w:rFonts w:eastAsia="Arial"/>
          <w:sz w:val="22"/>
          <w:szCs w:val="22"/>
        </w:rPr>
        <w:t>The human rights protected under the Act are not absolute. This means that the rights must be balanced against the rights of others and public policy issues of significance</w:t>
      </w:r>
      <w:r w:rsidR="00281D7D">
        <w:rPr>
          <w:rFonts w:eastAsia="Arial"/>
          <w:sz w:val="22"/>
          <w:szCs w:val="22"/>
        </w:rPr>
        <w:t>.</w:t>
      </w:r>
    </w:p>
    <w:p w14:paraId="0E9BE805" w14:textId="776133F2" w:rsidR="00281D7D" w:rsidRDefault="00281D7D">
      <w:pPr>
        <w:spacing w:after="0"/>
        <w:rPr>
          <w:rFonts w:eastAsia="Arial"/>
          <w:spacing w:val="-1"/>
          <w:sz w:val="22"/>
          <w:szCs w:val="22"/>
        </w:rPr>
      </w:pPr>
      <w:r>
        <w:rPr>
          <w:rFonts w:eastAsia="Arial"/>
          <w:spacing w:val="-1"/>
          <w:sz w:val="22"/>
          <w:szCs w:val="22"/>
        </w:rPr>
        <w:br w:type="page"/>
      </w:r>
    </w:p>
    <w:p w14:paraId="65A381C7" w14:textId="4A8162BB" w:rsidR="00681EFC" w:rsidRPr="00281D7D" w:rsidRDefault="003A308C" w:rsidP="00681EFC">
      <w:pPr>
        <w:pStyle w:val="Heading3"/>
        <w:rPr>
          <w:rFonts w:eastAsia="Arial"/>
          <w:b/>
          <w:bCs/>
          <w:color w:val="auto"/>
          <w:sz w:val="24"/>
          <w:szCs w:val="24"/>
        </w:rPr>
      </w:pPr>
      <w:r w:rsidRPr="00281D7D">
        <w:rPr>
          <w:rFonts w:eastAsia="Arial"/>
          <w:b/>
          <w:bCs/>
          <w:color w:val="auto"/>
          <w:sz w:val="24"/>
          <w:szCs w:val="24"/>
        </w:rPr>
        <w:lastRenderedPageBreak/>
        <w:t>How to Complain?</w:t>
      </w:r>
    </w:p>
    <w:p w14:paraId="2FA5499E" w14:textId="211EFD24" w:rsidR="003A308C" w:rsidRPr="00281D7D" w:rsidRDefault="003A308C" w:rsidP="003A308C">
      <w:pPr>
        <w:pStyle w:val="BodyText"/>
        <w:rPr>
          <w:rFonts w:eastAsia="Arial"/>
          <w:sz w:val="22"/>
          <w:szCs w:val="22"/>
        </w:rPr>
      </w:pPr>
      <w:r w:rsidRPr="00281D7D">
        <w:rPr>
          <w:rFonts w:eastAsia="Arial"/>
          <w:sz w:val="22"/>
          <w:szCs w:val="22"/>
        </w:rPr>
        <w:t>Putting your concerns in writing, with a clear indication of what you want to happen to resolve them, is a good first step. However, if you need help making a complaint about Human Rights, please let us know and we can assist.</w:t>
      </w:r>
    </w:p>
    <w:p w14:paraId="730603C5" w14:textId="488A31EB" w:rsidR="003A308C" w:rsidRPr="00281D7D" w:rsidRDefault="003A308C" w:rsidP="003A308C">
      <w:pPr>
        <w:pStyle w:val="BodyText"/>
        <w:rPr>
          <w:rFonts w:eastAsia="Arial"/>
          <w:sz w:val="22"/>
          <w:szCs w:val="22"/>
        </w:rPr>
      </w:pPr>
      <w:r w:rsidRPr="00281D7D">
        <w:rPr>
          <w:rFonts w:eastAsia="Arial"/>
          <w:sz w:val="22"/>
          <w:szCs w:val="22"/>
        </w:rPr>
        <w:t>What you say in the complaint is important. It determines whether the complaint will be accepted into the complaint process and may affect your rights and the outcome of the complaint.</w:t>
      </w:r>
    </w:p>
    <w:p w14:paraId="48CB8072" w14:textId="269C3C5A" w:rsidR="003A308C" w:rsidRPr="00281D7D" w:rsidRDefault="003A308C" w:rsidP="003A308C">
      <w:pPr>
        <w:pStyle w:val="BodyText"/>
        <w:rPr>
          <w:rFonts w:eastAsia="Arial"/>
          <w:sz w:val="22"/>
          <w:szCs w:val="22"/>
        </w:rPr>
      </w:pPr>
      <w:r w:rsidRPr="00281D7D">
        <w:rPr>
          <w:rFonts w:eastAsia="Arial"/>
          <w:sz w:val="22"/>
          <w:szCs w:val="22"/>
        </w:rPr>
        <w:t>The Human Rights Commission recommends that people seek legal advice before making a complaint. You can do this through Legal Aid Queensland or a Community Legal Centre or find a private solicitor through the Queensland Law Society. You might also be able to get help from a disability advocacy service.</w:t>
      </w:r>
    </w:p>
    <w:p w14:paraId="420B7433" w14:textId="77777777" w:rsidR="003A308C" w:rsidRPr="00281D7D" w:rsidRDefault="003A308C" w:rsidP="003A308C">
      <w:pPr>
        <w:pStyle w:val="BodyText"/>
        <w:rPr>
          <w:rFonts w:eastAsia="Arial"/>
          <w:sz w:val="22"/>
          <w:szCs w:val="22"/>
        </w:rPr>
      </w:pPr>
      <w:r w:rsidRPr="00281D7D">
        <w:rPr>
          <w:rFonts w:eastAsia="Arial"/>
          <w:sz w:val="22"/>
          <w:szCs w:val="22"/>
        </w:rPr>
        <w:t xml:space="preserve">You can also contact our complaints team for information about how to make a complaint on 1800 491 467 or email </w:t>
      </w:r>
      <w:hyperlink r:id="rId7" w:history="1">
        <w:r w:rsidRPr="00281D7D">
          <w:rPr>
            <w:rStyle w:val="Hyperlink"/>
            <w:rFonts w:eastAsia="Arial"/>
            <w:sz w:val="22"/>
            <w:szCs w:val="22"/>
          </w:rPr>
          <w:t>feedback@dsdsatsip.qld.gov.au</w:t>
        </w:r>
      </w:hyperlink>
      <w:r w:rsidRPr="00281D7D">
        <w:rPr>
          <w:rFonts w:eastAsia="Arial"/>
          <w:color w:val="233E5F"/>
          <w:sz w:val="22"/>
          <w:szCs w:val="22"/>
        </w:rPr>
        <w:t xml:space="preserve"> </w:t>
      </w:r>
    </w:p>
    <w:p w14:paraId="7950AFB2" w14:textId="05C3A79F" w:rsidR="00B3503F" w:rsidRPr="00281D7D" w:rsidRDefault="003A308C" w:rsidP="00B3503F">
      <w:pPr>
        <w:pStyle w:val="Heading3"/>
        <w:rPr>
          <w:rFonts w:eastAsia="Arial"/>
          <w:b/>
          <w:bCs/>
          <w:color w:val="auto"/>
          <w:sz w:val="24"/>
          <w:szCs w:val="24"/>
        </w:rPr>
      </w:pPr>
      <w:r w:rsidRPr="00281D7D">
        <w:rPr>
          <w:rFonts w:eastAsia="Arial"/>
          <w:b/>
          <w:bCs/>
          <w:color w:val="auto"/>
          <w:sz w:val="24"/>
          <w:szCs w:val="24"/>
        </w:rPr>
        <w:t>Who can Complain?</w:t>
      </w:r>
    </w:p>
    <w:p w14:paraId="2690EAF9" w14:textId="77777777" w:rsidR="0096097B" w:rsidRPr="00281D7D" w:rsidRDefault="0096097B" w:rsidP="0096097B">
      <w:pPr>
        <w:pStyle w:val="BodyText"/>
        <w:rPr>
          <w:rFonts w:eastAsia="Arial"/>
          <w:sz w:val="22"/>
          <w:szCs w:val="22"/>
        </w:rPr>
      </w:pPr>
      <w:r w:rsidRPr="00281D7D">
        <w:rPr>
          <w:rFonts w:eastAsia="Arial"/>
          <w:sz w:val="22"/>
          <w:szCs w:val="22"/>
        </w:rPr>
        <w:t xml:space="preserve">Human rights protect everyone in Queensland. You don’t have to be a </w:t>
      </w:r>
      <w:proofErr w:type="gramStart"/>
      <w:r w:rsidRPr="00281D7D">
        <w:rPr>
          <w:rFonts w:eastAsia="Arial"/>
          <w:sz w:val="22"/>
          <w:szCs w:val="22"/>
        </w:rPr>
        <w:t>resident, or</w:t>
      </w:r>
      <w:proofErr w:type="gramEnd"/>
      <w:r w:rsidRPr="00281D7D">
        <w:rPr>
          <w:rFonts w:eastAsia="Arial"/>
          <w:sz w:val="22"/>
          <w:szCs w:val="22"/>
        </w:rPr>
        <w:t xml:space="preserve"> have a particular citizenship or visa status.</w:t>
      </w:r>
    </w:p>
    <w:p w14:paraId="429EC10E" w14:textId="1B4B93B6" w:rsidR="00681EFC" w:rsidRPr="00281D7D" w:rsidRDefault="0096097B" w:rsidP="0096097B">
      <w:pPr>
        <w:pStyle w:val="BodyText"/>
        <w:rPr>
          <w:rFonts w:eastAsia="Arial"/>
          <w:sz w:val="22"/>
          <w:szCs w:val="22"/>
        </w:rPr>
      </w:pPr>
      <w:r w:rsidRPr="00281D7D">
        <w:rPr>
          <w:rFonts w:eastAsia="Arial"/>
          <w:sz w:val="22"/>
          <w:szCs w:val="22"/>
        </w:rPr>
        <w:t xml:space="preserve">You can appoint an advocate, </w:t>
      </w:r>
      <w:proofErr w:type="gramStart"/>
      <w:r w:rsidRPr="00281D7D">
        <w:rPr>
          <w:rFonts w:eastAsia="Arial"/>
          <w:sz w:val="22"/>
          <w:szCs w:val="22"/>
        </w:rPr>
        <w:t>friend</w:t>
      </w:r>
      <w:proofErr w:type="gramEnd"/>
      <w:r w:rsidRPr="00281D7D">
        <w:rPr>
          <w:rFonts w:eastAsia="Arial"/>
          <w:sz w:val="22"/>
          <w:szCs w:val="22"/>
        </w:rPr>
        <w:t xml:space="preserve"> or family member to complain on your behalf.</w:t>
      </w:r>
    </w:p>
    <w:p w14:paraId="3D6E70B4" w14:textId="48B20B6A" w:rsidR="0096097B" w:rsidRPr="00281D7D" w:rsidRDefault="0096097B" w:rsidP="0096097B">
      <w:pPr>
        <w:pStyle w:val="BodyText"/>
        <w:rPr>
          <w:rFonts w:eastAsia="Arial"/>
          <w:sz w:val="22"/>
          <w:szCs w:val="22"/>
        </w:rPr>
      </w:pPr>
      <w:r w:rsidRPr="00281D7D">
        <w:rPr>
          <w:rFonts w:eastAsia="Arial"/>
          <w:sz w:val="22"/>
          <w:szCs w:val="22"/>
        </w:rPr>
        <w:t>If someone is unable to make a complaint or appoint a person to help them, for example a person with an intellectual disability, a parent or guardian can make a complaint on their behalf.</w:t>
      </w:r>
    </w:p>
    <w:p w14:paraId="34E57113" w14:textId="30C1D642" w:rsidR="00681EFC" w:rsidRPr="00281D7D" w:rsidRDefault="0096097B" w:rsidP="00681EFC">
      <w:pPr>
        <w:pStyle w:val="Heading3"/>
        <w:rPr>
          <w:rFonts w:eastAsia="Arial"/>
          <w:b/>
          <w:bCs/>
          <w:color w:val="auto"/>
          <w:sz w:val="24"/>
          <w:szCs w:val="24"/>
        </w:rPr>
      </w:pPr>
      <w:r w:rsidRPr="00281D7D">
        <w:rPr>
          <w:rFonts w:eastAsia="Arial"/>
          <w:b/>
          <w:bCs/>
          <w:color w:val="auto"/>
          <w:sz w:val="24"/>
          <w:szCs w:val="24"/>
        </w:rPr>
        <w:t>What can I Complain About?</w:t>
      </w:r>
    </w:p>
    <w:p w14:paraId="000367A1" w14:textId="64A3474D" w:rsidR="0096097B" w:rsidRPr="00281D7D" w:rsidRDefault="0096097B" w:rsidP="0096097B">
      <w:pPr>
        <w:pStyle w:val="BodyText"/>
        <w:rPr>
          <w:rFonts w:eastAsia="Arial"/>
          <w:sz w:val="22"/>
          <w:szCs w:val="22"/>
        </w:rPr>
      </w:pPr>
      <w:r w:rsidRPr="00281D7D">
        <w:rPr>
          <w:rFonts w:eastAsia="Arial"/>
          <w:sz w:val="22"/>
          <w:szCs w:val="22"/>
        </w:rPr>
        <w:t>Your complaint could be covered by a combination of laws, including the Human Rights Act. You don’t need to know if it’s a human rights complaint to lodge it – we will contact you to discuss it. You can also talk to us before you lodge it if you’re unsure or need any more information.</w:t>
      </w:r>
    </w:p>
    <w:p w14:paraId="5F0739B0" w14:textId="3624D0AE"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t>Human Rights</w:t>
      </w:r>
    </w:p>
    <w:p w14:paraId="47D73D4E" w14:textId="77777777" w:rsidR="0096097B" w:rsidRPr="00281D7D" w:rsidRDefault="0096097B" w:rsidP="0096097B">
      <w:pPr>
        <w:pStyle w:val="BodyText"/>
        <w:rPr>
          <w:rFonts w:eastAsia="Arial"/>
          <w:sz w:val="22"/>
          <w:szCs w:val="22"/>
        </w:rPr>
      </w:pPr>
      <w:r w:rsidRPr="00281D7D">
        <w:rPr>
          <w:rFonts w:eastAsia="Arial"/>
          <w:sz w:val="22"/>
          <w:szCs w:val="22"/>
        </w:rPr>
        <w:t>Complaints about human rights breaches can only be made about acts and decisions made by Queensland public entities. Public entities are Queensland government departments, local councils, and organisations providing public services on behalf of the state, which includes the Department.</w:t>
      </w:r>
    </w:p>
    <w:p w14:paraId="2757A47E" w14:textId="5E4DBE0D" w:rsidR="0096097B" w:rsidRPr="00281D7D" w:rsidRDefault="0096097B" w:rsidP="0096097B">
      <w:pPr>
        <w:pStyle w:val="BodyText"/>
        <w:rPr>
          <w:rFonts w:eastAsia="Arial"/>
          <w:spacing w:val="-2"/>
          <w:sz w:val="22"/>
          <w:szCs w:val="22"/>
        </w:rPr>
      </w:pPr>
      <w:r w:rsidRPr="00281D7D">
        <w:rPr>
          <w:rFonts w:eastAsia="Arial"/>
          <w:spacing w:val="-2"/>
          <w:sz w:val="22"/>
          <w:szCs w:val="22"/>
        </w:rPr>
        <w:t>Public servants are considered public entities, so you can lodge a complaint about employees of the Department if you feel their actions or decisions unfairly limited your human rights. No rights are absolute, so the limitation must be unfair for you to be able to make a complaint.</w:t>
      </w:r>
    </w:p>
    <w:p w14:paraId="684E305D" w14:textId="77777777" w:rsidR="0096097B" w:rsidRPr="00281D7D" w:rsidRDefault="0096097B" w:rsidP="0096097B">
      <w:pPr>
        <w:pStyle w:val="BodyText"/>
        <w:rPr>
          <w:rFonts w:eastAsia="Arial"/>
          <w:spacing w:val="-4"/>
          <w:sz w:val="22"/>
          <w:szCs w:val="22"/>
        </w:rPr>
      </w:pPr>
      <w:r w:rsidRPr="00281D7D">
        <w:rPr>
          <w:rFonts w:eastAsia="Arial"/>
          <w:spacing w:val="-4"/>
          <w:sz w:val="22"/>
          <w:szCs w:val="22"/>
        </w:rPr>
        <w:t>The actions or decisions you’re able to complain about are only those made on or after 1 January 2020.</w:t>
      </w:r>
    </w:p>
    <w:p w14:paraId="1AA261A3" w14:textId="77777777" w:rsidR="0096097B" w:rsidRPr="00281D7D" w:rsidRDefault="0096097B" w:rsidP="0096097B">
      <w:pPr>
        <w:pStyle w:val="BodyText"/>
        <w:rPr>
          <w:rFonts w:eastAsia="Arial"/>
          <w:sz w:val="22"/>
          <w:szCs w:val="22"/>
        </w:rPr>
      </w:pPr>
      <w:r w:rsidRPr="00281D7D">
        <w:rPr>
          <w:rFonts w:eastAsia="Arial"/>
          <w:sz w:val="22"/>
          <w:szCs w:val="22"/>
        </w:rPr>
        <w:t>You need to complain to the Department first. You can then complain to the Human Rights Commission if we do not respond to your complaint within 45 business days (approximately 9 weeks), or if our response is not satisfactory for you.</w:t>
      </w:r>
    </w:p>
    <w:p w14:paraId="068AC8F7" w14:textId="657A36C5"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t>Reprisal because of a Public Interest Disclosure</w:t>
      </w:r>
    </w:p>
    <w:p w14:paraId="32950871" w14:textId="08E72AEE" w:rsidR="0096097B" w:rsidRPr="00281D7D" w:rsidRDefault="0096097B" w:rsidP="0096097B">
      <w:pPr>
        <w:pStyle w:val="BodyText"/>
        <w:rPr>
          <w:rFonts w:eastAsia="Arial"/>
          <w:sz w:val="22"/>
          <w:szCs w:val="22"/>
        </w:rPr>
      </w:pPr>
      <w:r w:rsidRPr="00281D7D">
        <w:rPr>
          <w:rFonts w:eastAsia="Arial"/>
          <w:sz w:val="22"/>
          <w:szCs w:val="22"/>
        </w:rPr>
        <w:t xml:space="preserve">Complaints about reprisals for Public Interest Disclosures can be made about an individual, a group of people, or an organisation or business, or a combination of these. </w:t>
      </w:r>
    </w:p>
    <w:p w14:paraId="23821DB5" w14:textId="77777777" w:rsidR="00281D7D" w:rsidRDefault="00281D7D">
      <w:pPr>
        <w:spacing w:after="0"/>
        <w:rPr>
          <w:rFonts w:eastAsia="Arial" w:cs="Arial"/>
          <w:color w:val="7F7F7F"/>
          <w:sz w:val="28"/>
          <w:szCs w:val="28"/>
          <w:lang w:eastAsia="en-US"/>
        </w:rPr>
      </w:pPr>
      <w:r>
        <w:rPr>
          <w:rFonts w:eastAsia="Arial"/>
        </w:rPr>
        <w:br w:type="page"/>
      </w:r>
    </w:p>
    <w:p w14:paraId="02C81DD1" w14:textId="630720CC" w:rsidR="00620339" w:rsidRPr="00281D7D" w:rsidRDefault="0096097B" w:rsidP="00620339">
      <w:pPr>
        <w:pStyle w:val="Heading3"/>
        <w:rPr>
          <w:rFonts w:eastAsia="Arial"/>
          <w:b/>
          <w:bCs/>
          <w:color w:val="auto"/>
          <w:sz w:val="24"/>
          <w:szCs w:val="24"/>
        </w:rPr>
      </w:pPr>
      <w:r w:rsidRPr="00281D7D">
        <w:rPr>
          <w:rFonts w:eastAsia="Arial"/>
          <w:b/>
          <w:bCs/>
          <w:color w:val="auto"/>
          <w:sz w:val="24"/>
          <w:szCs w:val="24"/>
        </w:rPr>
        <w:t>What do I include in my Complaint?</w:t>
      </w:r>
    </w:p>
    <w:p w14:paraId="719B86BA" w14:textId="77777777" w:rsidR="0096097B" w:rsidRPr="00281D7D" w:rsidRDefault="0096097B" w:rsidP="0096097B">
      <w:pPr>
        <w:pStyle w:val="BodyText"/>
        <w:rPr>
          <w:rFonts w:eastAsia="Arial"/>
          <w:sz w:val="22"/>
          <w:szCs w:val="22"/>
        </w:rPr>
      </w:pPr>
      <w:r w:rsidRPr="00281D7D">
        <w:rPr>
          <w:rFonts w:eastAsia="Arial"/>
          <w:sz w:val="22"/>
          <w:szCs w:val="22"/>
        </w:rPr>
        <w:t xml:space="preserve">Complaints should be in writing, but we know this may not be possible for everyone so please let us know if you need help. A letter or </w:t>
      </w:r>
      <w:proofErr w:type="gramStart"/>
      <w:r w:rsidRPr="00281D7D">
        <w:rPr>
          <w:rFonts w:eastAsia="Arial"/>
          <w:sz w:val="22"/>
          <w:szCs w:val="22"/>
        </w:rPr>
        <w:t>email, or</w:t>
      </w:r>
      <w:proofErr w:type="gramEnd"/>
      <w:r w:rsidRPr="00281D7D">
        <w:rPr>
          <w:rFonts w:eastAsia="Arial"/>
          <w:sz w:val="22"/>
          <w:szCs w:val="22"/>
        </w:rPr>
        <w:t xml:space="preserve"> filling out a complaint form online are all fine.</w:t>
      </w:r>
    </w:p>
    <w:p w14:paraId="768C859A" w14:textId="509C7BF3" w:rsidR="0096097B" w:rsidRPr="00281D7D" w:rsidRDefault="0096097B" w:rsidP="0096097B">
      <w:pPr>
        <w:pStyle w:val="BodyText"/>
        <w:rPr>
          <w:rFonts w:eastAsia="Arial"/>
          <w:sz w:val="22"/>
          <w:szCs w:val="22"/>
        </w:rPr>
      </w:pPr>
      <w:r w:rsidRPr="00281D7D">
        <w:rPr>
          <w:rFonts w:eastAsia="Arial"/>
          <w:sz w:val="22"/>
          <w:szCs w:val="22"/>
        </w:rPr>
        <w:t xml:space="preserve">If you can’t write your own complaint, we’ll try and find someone to help you do it. In some </w:t>
      </w:r>
      <w:proofErr w:type="gramStart"/>
      <w:r w:rsidRPr="00281D7D">
        <w:rPr>
          <w:rFonts w:eastAsia="Arial"/>
          <w:sz w:val="22"/>
          <w:szCs w:val="22"/>
        </w:rPr>
        <w:t>cases</w:t>
      </w:r>
      <w:proofErr w:type="gramEnd"/>
      <w:r w:rsidRPr="00281D7D">
        <w:rPr>
          <w:rFonts w:eastAsia="Arial"/>
          <w:sz w:val="22"/>
          <w:szCs w:val="22"/>
        </w:rPr>
        <w:t xml:space="preserve"> we might be able to help you ourselves.</w:t>
      </w:r>
    </w:p>
    <w:p w14:paraId="647B0365" w14:textId="77777777" w:rsidR="0096097B" w:rsidRPr="00281D7D" w:rsidRDefault="0096097B" w:rsidP="0096097B">
      <w:pPr>
        <w:pStyle w:val="BodyText"/>
        <w:rPr>
          <w:rFonts w:eastAsia="Arial"/>
          <w:sz w:val="22"/>
          <w:szCs w:val="22"/>
        </w:rPr>
      </w:pPr>
      <w:r w:rsidRPr="00281D7D">
        <w:rPr>
          <w:rFonts w:eastAsia="Arial"/>
          <w:sz w:val="22"/>
          <w:szCs w:val="22"/>
        </w:rPr>
        <w:t>Your complaint can be in any language, as we can use translators where needed.</w:t>
      </w:r>
    </w:p>
    <w:p w14:paraId="5E3E1C5F" w14:textId="77777777" w:rsidR="0096097B" w:rsidRPr="00281D7D" w:rsidRDefault="0096097B" w:rsidP="0096097B">
      <w:pPr>
        <w:pStyle w:val="BodyText"/>
        <w:rPr>
          <w:rFonts w:eastAsia="Arial"/>
          <w:sz w:val="22"/>
          <w:szCs w:val="22"/>
        </w:rPr>
      </w:pPr>
      <w:r w:rsidRPr="00281D7D">
        <w:rPr>
          <w:rFonts w:eastAsia="Arial"/>
          <w:sz w:val="22"/>
          <w:szCs w:val="22"/>
        </w:rPr>
        <w:t>A complaint should be made within one year of the situation you are complaining about. We may accept a complaint made more than one year from the situation you are complaining about if there is good reason for the delay.</w:t>
      </w:r>
    </w:p>
    <w:p w14:paraId="0FD34AD2" w14:textId="77777777" w:rsidR="0096097B" w:rsidRPr="00281D7D" w:rsidRDefault="0096097B" w:rsidP="0096097B">
      <w:pPr>
        <w:pStyle w:val="BodyText"/>
        <w:rPr>
          <w:rFonts w:eastAsia="Arial"/>
          <w:sz w:val="22"/>
          <w:szCs w:val="22"/>
        </w:rPr>
      </w:pPr>
      <w:r w:rsidRPr="00281D7D">
        <w:rPr>
          <w:rFonts w:eastAsia="Arial"/>
          <w:sz w:val="22"/>
          <w:szCs w:val="22"/>
        </w:rPr>
        <w:t>Please include the following information:</w:t>
      </w:r>
    </w:p>
    <w:p w14:paraId="37EA19C1" w14:textId="318BAE1E" w:rsidR="0096097B" w:rsidRPr="00281D7D" w:rsidRDefault="0096097B" w:rsidP="0096097B">
      <w:pPr>
        <w:pStyle w:val="ListBullet"/>
        <w:rPr>
          <w:rFonts w:eastAsia="Arial"/>
          <w:sz w:val="22"/>
          <w:szCs w:val="22"/>
        </w:rPr>
      </w:pPr>
      <w:r w:rsidRPr="00281D7D">
        <w:rPr>
          <w:rFonts w:eastAsia="Arial"/>
          <w:sz w:val="22"/>
          <w:szCs w:val="22"/>
        </w:rPr>
        <w:t>your name, phone number and address for service of mail or email where you can access mail quickly.</w:t>
      </w:r>
    </w:p>
    <w:p w14:paraId="2AEAD52F" w14:textId="57664B58" w:rsidR="0096097B" w:rsidRPr="00281D7D" w:rsidRDefault="0096097B" w:rsidP="0096097B">
      <w:pPr>
        <w:pStyle w:val="ListBullet"/>
        <w:rPr>
          <w:rFonts w:eastAsia="Arial"/>
          <w:sz w:val="22"/>
          <w:szCs w:val="22"/>
        </w:rPr>
      </w:pPr>
      <w:r w:rsidRPr="00281D7D">
        <w:rPr>
          <w:rFonts w:eastAsia="Arial"/>
          <w:sz w:val="22"/>
          <w:szCs w:val="22"/>
        </w:rPr>
        <w:t xml:space="preserve">full details of your complaint - who treated you unfairly, </w:t>
      </w:r>
      <w:proofErr w:type="gramStart"/>
      <w:r w:rsidRPr="00281D7D">
        <w:rPr>
          <w:rFonts w:eastAsia="Arial"/>
          <w:sz w:val="22"/>
          <w:szCs w:val="22"/>
        </w:rPr>
        <w:t>where</w:t>
      </w:r>
      <w:proofErr w:type="gramEnd"/>
      <w:r w:rsidRPr="00281D7D">
        <w:rPr>
          <w:rFonts w:eastAsia="Arial"/>
          <w:sz w:val="22"/>
          <w:szCs w:val="22"/>
        </w:rPr>
        <w:t xml:space="preserve"> and when, and what happened. Include what you did and how others in a similar situation were treated - better or worse.</w:t>
      </w:r>
    </w:p>
    <w:p w14:paraId="0E013E46" w14:textId="6EAEF071" w:rsidR="0096097B" w:rsidRPr="00281D7D" w:rsidRDefault="0096097B" w:rsidP="0096097B">
      <w:pPr>
        <w:pStyle w:val="ListBullet"/>
        <w:rPr>
          <w:rFonts w:eastAsia="Arial"/>
          <w:sz w:val="22"/>
          <w:szCs w:val="22"/>
        </w:rPr>
      </w:pPr>
      <w:r w:rsidRPr="00281D7D">
        <w:rPr>
          <w:rFonts w:eastAsia="Arial"/>
          <w:sz w:val="22"/>
          <w:szCs w:val="22"/>
        </w:rPr>
        <w:t>why you think you were singled out or why you were treated unfairly.</w:t>
      </w:r>
    </w:p>
    <w:p w14:paraId="60BEC0DF" w14:textId="01AAD871" w:rsidR="0096097B" w:rsidRPr="00281D7D" w:rsidRDefault="0096097B" w:rsidP="0096097B">
      <w:pPr>
        <w:pStyle w:val="ListBullet"/>
        <w:rPr>
          <w:rFonts w:eastAsia="Arial"/>
          <w:spacing w:val="-1"/>
          <w:sz w:val="22"/>
          <w:szCs w:val="22"/>
        </w:rPr>
      </w:pPr>
      <w:r w:rsidRPr="00281D7D">
        <w:rPr>
          <w:rFonts w:eastAsia="Arial"/>
          <w:spacing w:val="-1"/>
          <w:sz w:val="22"/>
          <w:szCs w:val="22"/>
        </w:rPr>
        <w:t>date the complaint and sign it if you can.</w:t>
      </w:r>
    </w:p>
    <w:p w14:paraId="1E4BFECF" w14:textId="2A0A8E41" w:rsidR="0096097B" w:rsidRPr="00281D7D" w:rsidRDefault="0096097B" w:rsidP="0096097B">
      <w:pPr>
        <w:pStyle w:val="ListBullet"/>
        <w:rPr>
          <w:rFonts w:eastAsia="Arial"/>
          <w:sz w:val="22"/>
          <w:szCs w:val="22"/>
        </w:rPr>
      </w:pPr>
      <w:r w:rsidRPr="00281D7D">
        <w:rPr>
          <w:rFonts w:eastAsia="Arial"/>
          <w:sz w:val="22"/>
          <w:szCs w:val="22"/>
        </w:rPr>
        <w:t>the name, address, and phone number of everyone you are complaining about, if you have these details. If they were at work at the time, also tell us the name of their employer.</w:t>
      </w:r>
    </w:p>
    <w:p w14:paraId="33A9639A" w14:textId="14ED86E4" w:rsidR="00620339" w:rsidRPr="00281D7D" w:rsidRDefault="0096097B" w:rsidP="00620339">
      <w:pPr>
        <w:pStyle w:val="Heading3"/>
        <w:rPr>
          <w:b/>
          <w:bCs/>
          <w:color w:val="auto"/>
          <w:sz w:val="24"/>
          <w:szCs w:val="24"/>
        </w:rPr>
      </w:pPr>
      <w:r w:rsidRPr="00281D7D">
        <w:rPr>
          <w:b/>
          <w:bCs/>
          <w:color w:val="auto"/>
          <w:sz w:val="24"/>
          <w:szCs w:val="24"/>
        </w:rPr>
        <w:t>What will the Department do with my Complaint?</w:t>
      </w:r>
    </w:p>
    <w:p w14:paraId="348852FC" w14:textId="055C9D26" w:rsidR="0096097B" w:rsidRPr="00281D7D" w:rsidRDefault="0096097B" w:rsidP="0096097B">
      <w:pPr>
        <w:pStyle w:val="BodyText"/>
        <w:rPr>
          <w:sz w:val="22"/>
          <w:szCs w:val="22"/>
        </w:rPr>
      </w:pPr>
      <w:r w:rsidRPr="00281D7D">
        <w:rPr>
          <w:rFonts w:eastAsia="Arial"/>
          <w:sz w:val="22"/>
          <w:szCs w:val="22"/>
        </w:rPr>
        <w:t>We will assess your complaint and contact you quickly to discuss our initial thoughts and planned approach.</w:t>
      </w:r>
      <w:r w:rsidRPr="00281D7D">
        <w:rPr>
          <w:sz w:val="22"/>
          <w:szCs w:val="22"/>
        </w:rPr>
        <w:t xml:space="preserve"> </w:t>
      </w:r>
    </w:p>
    <w:p w14:paraId="49BC4AA0" w14:textId="0F3B0824" w:rsidR="00620339" w:rsidRPr="00281D7D" w:rsidRDefault="0096097B" w:rsidP="00620339">
      <w:pPr>
        <w:pStyle w:val="Heading3"/>
        <w:rPr>
          <w:b/>
          <w:bCs/>
          <w:color w:val="auto"/>
          <w:sz w:val="24"/>
          <w:szCs w:val="24"/>
        </w:rPr>
      </w:pPr>
      <w:r w:rsidRPr="00281D7D">
        <w:rPr>
          <w:b/>
          <w:bCs/>
          <w:color w:val="auto"/>
          <w:sz w:val="24"/>
          <w:szCs w:val="24"/>
        </w:rPr>
        <w:t>What Else?</w:t>
      </w:r>
    </w:p>
    <w:p w14:paraId="29850B7B" w14:textId="77777777" w:rsidR="0096097B" w:rsidRPr="00281D7D" w:rsidRDefault="0096097B" w:rsidP="0096097B">
      <w:pPr>
        <w:pStyle w:val="BodyText"/>
        <w:rPr>
          <w:rFonts w:eastAsia="Arial"/>
          <w:sz w:val="22"/>
          <w:szCs w:val="22"/>
        </w:rPr>
      </w:pPr>
      <w:r w:rsidRPr="00281D7D">
        <w:rPr>
          <w:rFonts w:eastAsia="Arial"/>
          <w:sz w:val="22"/>
          <w:szCs w:val="22"/>
        </w:rPr>
        <w:t>There are no fees for the services of the Department’s Complaints and Investigation team.</w:t>
      </w:r>
    </w:p>
    <w:p w14:paraId="70162C2C" w14:textId="77777777" w:rsidR="0096097B" w:rsidRPr="00281D7D" w:rsidRDefault="0096097B" w:rsidP="0096097B">
      <w:pPr>
        <w:pStyle w:val="BodyText"/>
        <w:rPr>
          <w:rFonts w:eastAsia="Arial"/>
          <w:sz w:val="22"/>
          <w:szCs w:val="22"/>
        </w:rPr>
      </w:pPr>
      <w:r w:rsidRPr="00281D7D">
        <w:rPr>
          <w:rFonts w:eastAsia="Arial"/>
          <w:sz w:val="22"/>
          <w:szCs w:val="22"/>
        </w:rPr>
        <w:t>If you need legal or other advice about your complaint, we can suggest where to go for help. We cannot give you legal advice.</w:t>
      </w:r>
    </w:p>
    <w:p w14:paraId="1DA9808F" w14:textId="6A9D4DAF" w:rsidR="0096097B" w:rsidRPr="00281D7D" w:rsidRDefault="0096097B" w:rsidP="0096097B">
      <w:pPr>
        <w:pStyle w:val="BodyText"/>
        <w:rPr>
          <w:rFonts w:eastAsia="Arial"/>
          <w:sz w:val="22"/>
          <w:szCs w:val="22"/>
        </w:rPr>
      </w:pPr>
      <w:r w:rsidRPr="00281D7D">
        <w:rPr>
          <w:rFonts w:eastAsia="Arial"/>
          <w:sz w:val="22"/>
          <w:szCs w:val="22"/>
        </w:rPr>
        <w:t>We may investigate the complaint and we will not take sides.</w:t>
      </w:r>
    </w:p>
    <w:p w14:paraId="2FBA2C09" w14:textId="2C8357A8" w:rsidR="0096097B" w:rsidRPr="00281D7D" w:rsidRDefault="0096097B" w:rsidP="0096097B">
      <w:pPr>
        <w:pStyle w:val="Heading3"/>
        <w:rPr>
          <w:rFonts w:eastAsia="Arial"/>
          <w:b/>
          <w:bCs/>
          <w:color w:val="auto"/>
          <w:sz w:val="24"/>
          <w:szCs w:val="24"/>
        </w:rPr>
      </w:pPr>
      <w:r w:rsidRPr="00281D7D">
        <w:rPr>
          <w:rFonts w:eastAsia="Arial"/>
          <w:b/>
          <w:bCs/>
          <w:color w:val="auto"/>
          <w:sz w:val="24"/>
          <w:szCs w:val="24"/>
        </w:rPr>
        <w:t>Contact Details</w:t>
      </w:r>
    </w:p>
    <w:p w14:paraId="10F33E75" w14:textId="77777777" w:rsidR="0096097B" w:rsidRPr="00281D7D" w:rsidRDefault="0096097B" w:rsidP="0096097B">
      <w:pPr>
        <w:pStyle w:val="BodyText"/>
        <w:rPr>
          <w:rFonts w:eastAsia="Arial"/>
          <w:sz w:val="22"/>
          <w:szCs w:val="22"/>
        </w:rPr>
      </w:pPr>
      <w:r w:rsidRPr="00281D7D">
        <w:rPr>
          <w:rFonts w:eastAsia="Arial"/>
          <w:sz w:val="22"/>
          <w:szCs w:val="22"/>
        </w:rPr>
        <w:t>For more information about how the department manages complaints, you can contact the department’s Complaints and Investigations team by:</w:t>
      </w:r>
    </w:p>
    <w:p w14:paraId="5EAFBD42" w14:textId="486C0A91" w:rsidR="0096097B" w:rsidRPr="00281D7D" w:rsidRDefault="0096097B" w:rsidP="0096097B">
      <w:pPr>
        <w:pStyle w:val="BodyText"/>
        <w:rPr>
          <w:rFonts w:eastAsia="Arial"/>
          <w:spacing w:val="-4"/>
          <w:sz w:val="22"/>
          <w:szCs w:val="22"/>
        </w:rPr>
      </w:pPr>
      <w:r w:rsidRPr="00281D7D">
        <w:rPr>
          <w:rFonts w:eastAsia="Arial"/>
          <w:spacing w:val="-4"/>
          <w:sz w:val="22"/>
          <w:szCs w:val="22"/>
        </w:rPr>
        <w:t>Email</w:t>
      </w:r>
      <w:r w:rsidR="0059300C">
        <w:rPr>
          <w:rFonts w:eastAsia="Arial"/>
          <w:spacing w:val="-4"/>
          <w:sz w:val="22"/>
          <w:szCs w:val="22"/>
        </w:rPr>
        <w:t xml:space="preserve"> </w:t>
      </w:r>
      <w:hyperlink r:id="rId8" w:history="1">
        <w:r w:rsidR="0059300C" w:rsidRPr="00907599">
          <w:rPr>
            <w:rStyle w:val="Hyperlink"/>
            <w:rFonts w:eastAsia="Arial"/>
            <w:spacing w:val="-4"/>
            <w:sz w:val="22"/>
            <w:szCs w:val="22"/>
          </w:rPr>
          <w:t>feedback@dsdsatsip.qld.gov.au</w:t>
        </w:r>
      </w:hyperlink>
      <w:r w:rsidRPr="00281D7D">
        <w:rPr>
          <w:rFonts w:eastAsia="Arial"/>
          <w:spacing w:val="-4"/>
          <w:sz w:val="22"/>
          <w:szCs w:val="22"/>
        </w:rPr>
        <w:t xml:space="preserve"> </w:t>
      </w:r>
    </w:p>
    <w:p w14:paraId="16FC7401" w14:textId="77777777" w:rsidR="0096097B" w:rsidRPr="00281D7D" w:rsidRDefault="0096097B" w:rsidP="0096097B">
      <w:pPr>
        <w:pStyle w:val="BodyText"/>
        <w:rPr>
          <w:rFonts w:eastAsia="Arial"/>
          <w:spacing w:val="-4"/>
          <w:sz w:val="22"/>
          <w:szCs w:val="22"/>
        </w:rPr>
      </w:pPr>
      <w:r w:rsidRPr="00281D7D">
        <w:rPr>
          <w:rFonts w:eastAsia="Arial"/>
          <w:spacing w:val="-4"/>
          <w:sz w:val="22"/>
          <w:szCs w:val="22"/>
        </w:rPr>
        <w:t>Phone: 1800 491 467</w:t>
      </w:r>
    </w:p>
    <w:p w14:paraId="7BF84193" w14:textId="73EBA0B3" w:rsidR="00B25751" w:rsidRPr="00281D7D" w:rsidRDefault="0096097B" w:rsidP="0096097B">
      <w:pPr>
        <w:pStyle w:val="BodyText"/>
        <w:rPr>
          <w:rFonts w:eastAsia="Arial"/>
          <w:sz w:val="22"/>
          <w:szCs w:val="22"/>
        </w:rPr>
      </w:pPr>
      <w:r w:rsidRPr="00281D7D">
        <w:rPr>
          <w:rFonts w:eastAsia="Arial"/>
          <w:sz w:val="22"/>
          <w:szCs w:val="22"/>
        </w:rPr>
        <w:t>Post: Complaints Unit, Department of Seniors, Disability Services and Aboriginal and Torres Strait Islander Partnerships, GPO Box 15397, City East, Q 4002</w:t>
      </w:r>
    </w:p>
    <w:sectPr w:rsidR="00B25751" w:rsidRPr="00281D7D" w:rsidSect="00FE5209">
      <w:headerReference w:type="default" r:id="rId9"/>
      <w:footerReference w:type="default" r:id="rId10"/>
      <w:headerReference w:type="first" r:id="rId11"/>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161E" w14:textId="77777777" w:rsidR="003358DF" w:rsidRDefault="003358DF" w:rsidP="00843FBF">
      <w:r>
        <w:separator/>
      </w:r>
    </w:p>
  </w:endnote>
  <w:endnote w:type="continuationSeparator" w:id="0">
    <w:p w14:paraId="10F60404" w14:textId="77777777" w:rsidR="003358DF" w:rsidRDefault="003358DF"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D132" w14:textId="77777777" w:rsidR="00FC7681" w:rsidRPr="005E1C7F" w:rsidRDefault="00FC7681" w:rsidP="00843FBF">
    <w:pPr>
      <w:pStyle w:val="Footer"/>
    </w:pPr>
    <w:r w:rsidRPr="005E1C7F">
      <w:t xml:space="preserve">Department of </w:t>
    </w:r>
    <w:r w:rsidR="00CF4BF3">
      <w:t xml:space="preserve">Seniors, Disability Services and </w:t>
    </w:r>
    <w:r w:rsidRPr="005E1C7F">
      <w:t xml:space="preserve">Aboriginal and Torres Strait Islander </w:t>
    </w:r>
    <w:r w:rsidR="00196407">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815A84">
      <w:rPr>
        <w:noProof/>
      </w:rPr>
      <w:t>2</w:t>
    </w:r>
    <w:r w:rsidR="005E1C7F" w:rsidRPr="005E1C7F">
      <w:fldChar w:fldCharType="end"/>
    </w:r>
  </w:p>
  <w:p w14:paraId="7AEE322B" w14:textId="77777777" w:rsidR="006876AE" w:rsidRDefault="006876AE" w:rsidP="00980B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02DF" w14:textId="77777777" w:rsidR="003358DF" w:rsidRDefault="003358DF" w:rsidP="00843FBF">
      <w:r>
        <w:separator/>
      </w:r>
    </w:p>
  </w:footnote>
  <w:footnote w:type="continuationSeparator" w:id="0">
    <w:p w14:paraId="6DD98CF4" w14:textId="77777777" w:rsidR="003358DF" w:rsidRDefault="003358DF"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AF29" w14:textId="77777777" w:rsidR="00FC7681" w:rsidRPr="0022302F" w:rsidRDefault="00C92B8F" w:rsidP="0022302F">
    <w:pPr>
      <w:pStyle w:val="Header"/>
    </w:pPr>
    <w:r>
      <w:t>OPERATIONAL PROCEDURE</w:t>
    </w:r>
  </w:p>
  <w:p w14:paraId="3E3FE47F" w14:textId="77777777" w:rsidR="006876AE" w:rsidRDefault="006876AE" w:rsidP="00980B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D62C" w14:textId="77777777" w:rsidR="00B25751" w:rsidRPr="00B25751" w:rsidRDefault="00166878" w:rsidP="00B25751">
    <w:pPr>
      <w:pStyle w:val="ListBullet"/>
      <w:numPr>
        <w:ilvl w:val="0"/>
        <w:numId w:val="0"/>
      </w:numPr>
      <w:spacing w:after="40" w:line="240" w:lineRule="auto"/>
      <w:rPr>
        <w:sz w:val="18"/>
        <w:szCs w:val="18"/>
      </w:rPr>
    </w:pPr>
    <w:r w:rsidRPr="00B25751">
      <w:rPr>
        <w:rStyle w:val="HeaderChar"/>
        <w:noProof/>
        <w:sz w:val="18"/>
        <w:szCs w:val="18"/>
        <w:lang w:val="en-AU" w:eastAsia="en-AU"/>
      </w:rPr>
      <w:drawing>
        <wp:anchor distT="0" distB="0" distL="114300" distR="114300" simplePos="0" relativeHeight="251657728" behindDoc="1" locked="0" layoutInCell="1" allowOverlap="1" wp14:anchorId="47BD5CBB" wp14:editId="152E92BC">
          <wp:simplePos x="0" y="0"/>
          <wp:positionH relativeFrom="margin">
            <wp:posOffset>-565059</wp:posOffset>
          </wp:positionH>
          <wp:positionV relativeFrom="paragraph">
            <wp:posOffset>-500652</wp:posOffset>
          </wp:positionV>
          <wp:extent cx="7580949" cy="10727998"/>
          <wp:effectExtent l="0" t="0" r="1270" b="3810"/>
          <wp:wrapNone/>
          <wp:docPr id="13"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5751" w:rsidRPr="00B25751">
      <w:rPr>
        <w:rStyle w:val="HeaderChar"/>
        <w:sz w:val="18"/>
        <w:szCs w:val="18"/>
      </w:rPr>
      <w:t>Department of Seniors, Disability Services and</w:t>
    </w:r>
    <w:r w:rsidR="00B25751" w:rsidRPr="00B25751">
      <w:rPr>
        <w:rStyle w:val="HeaderChar"/>
        <w:sz w:val="18"/>
        <w:szCs w:val="18"/>
      </w:rPr>
      <w:br/>
      <w:t>Aboriginal and Torres Strait Islander Partnerships</w:t>
    </w:r>
  </w:p>
  <w:p w14:paraId="412D1BD1" w14:textId="77777777" w:rsidR="00686F14" w:rsidRPr="00B25751" w:rsidRDefault="00C162B8" w:rsidP="00B25751">
    <w:pPr>
      <w:pStyle w:val="DOCUMENTTITLE"/>
    </w:pPr>
    <w: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10A5055"/>
    <w:multiLevelType w:val="hybridMultilevel"/>
    <w:tmpl w:val="470CE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2609A1"/>
    <w:multiLevelType w:val="multilevel"/>
    <w:tmpl w:val="24286EC2"/>
    <w:lvl w:ilvl="0">
      <w:numFmt w:val="bullet"/>
      <w:lvlText w:val="·"/>
      <w:lvlJc w:val="left"/>
      <w:pPr>
        <w:tabs>
          <w:tab w:val="left" w:pos="360"/>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05E57"/>
    <w:multiLevelType w:val="hybridMultilevel"/>
    <w:tmpl w:val="F7B479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0C7718"/>
    <w:multiLevelType w:val="multilevel"/>
    <w:tmpl w:val="47CAA162"/>
    <w:lvl w:ilvl="0">
      <w:numFmt w:val="bullet"/>
      <w:lvlText w:val="·"/>
      <w:lvlJc w:val="left"/>
      <w:pPr>
        <w:tabs>
          <w:tab w:val="left" w:pos="432"/>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F1140"/>
    <w:multiLevelType w:val="hybridMultilevel"/>
    <w:tmpl w:val="11D0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A64CD4"/>
    <w:multiLevelType w:val="multilevel"/>
    <w:tmpl w:val="5164EE8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74407943">
    <w:abstractNumId w:val="9"/>
  </w:num>
  <w:num w:numId="2" w16cid:durableId="1736849967">
    <w:abstractNumId w:val="18"/>
  </w:num>
  <w:num w:numId="3" w16cid:durableId="2106807209">
    <w:abstractNumId w:val="21"/>
  </w:num>
  <w:num w:numId="4" w16cid:durableId="528227489">
    <w:abstractNumId w:val="7"/>
  </w:num>
  <w:num w:numId="5" w16cid:durableId="1011562485">
    <w:abstractNumId w:val="6"/>
  </w:num>
  <w:num w:numId="6" w16cid:durableId="1466393949">
    <w:abstractNumId w:val="5"/>
  </w:num>
  <w:num w:numId="7" w16cid:durableId="2087071304">
    <w:abstractNumId w:val="4"/>
  </w:num>
  <w:num w:numId="8" w16cid:durableId="635451289">
    <w:abstractNumId w:val="8"/>
  </w:num>
  <w:num w:numId="9" w16cid:durableId="64570543">
    <w:abstractNumId w:val="3"/>
  </w:num>
  <w:num w:numId="10" w16cid:durableId="317149900">
    <w:abstractNumId w:val="2"/>
  </w:num>
  <w:num w:numId="11" w16cid:durableId="1605308755">
    <w:abstractNumId w:val="1"/>
  </w:num>
  <w:num w:numId="12" w16cid:durableId="926308400">
    <w:abstractNumId w:val="0"/>
  </w:num>
  <w:num w:numId="13" w16cid:durableId="850989096">
    <w:abstractNumId w:val="19"/>
  </w:num>
  <w:num w:numId="14" w16cid:durableId="1052383157">
    <w:abstractNumId w:val="9"/>
  </w:num>
  <w:num w:numId="15" w16cid:durableId="1351878767">
    <w:abstractNumId w:val="14"/>
  </w:num>
  <w:num w:numId="16" w16cid:durableId="1029449613">
    <w:abstractNumId w:val="8"/>
  </w:num>
  <w:num w:numId="17" w16cid:durableId="705066147">
    <w:abstractNumId w:val="13"/>
  </w:num>
  <w:num w:numId="18" w16cid:durableId="1572933840">
    <w:abstractNumId w:val="9"/>
  </w:num>
  <w:num w:numId="19" w16cid:durableId="805045888">
    <w:abstractNumId w:val="14"/>
  </w:num>
  <w:num w:numId="20" w16cid:durableId="346907529">
    <w:abstractNumId w:val="8"/>
  </w:num>
  <w:num w:numId="21" w16cid:durableId="1169175856">
    <w:abstractNumId w:val="12"/>
  </w:num>
  <w:num w:numId="22" w16cid:durableId="1891383377">
    <w:abstractNumId w:val="20"/>
  </w:num>
  <w:num w:numId="23" w16cid:durableId="1132669943">
    <w:abstractNumId w:val="11"/>
  </w:num>
  <w:num w:numId="24" w16cid:durableId="1333142162">
    <w:abstractNumId w:val="15"/>
  </w:num>
  <w:num w:numId="25" w16cid:durableId="782846348">
    <w:abstractNumId w:val="10"/>
  </w:num>
  <w:num w:numId="26" w16cid:durableId="1431045841">
    <w:abstractNumId w:val="17"/>
  </w:num>
  <w:num w:numId="27" w16cid:durableId="17466816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84"/>
    <w:rsid w:val="000212E7"/>
    <w:rsid w:val="0004717A"/>
    <w:rsid w:val="00047F4D"/>
    <w:rsid w:val="000602C5"/>
    <w:rsid w:val="000634CC"/>
    <w:rsid w:val="000943C1"/>
    <w:rsid w:val="000974D4"/>
    <w:rsid w:val="000B5DE6"/>
    <w:rsid w:val="000E45F7"/>
    <w:rsid w:val="000F392E"/>
    <w:rsid w:val="000F7F7A"/>
    <w:rsid w:val="00103440"/>
    <w:rsid w:val="00121532"/>
    <w:rsid w:val="00132B62"/>
    <w:rsid w:val="00140F81"/>
    <w:rsid w:val="001515D8"/>
    <w:rsid w:val="00151CC3"/>
    <w:rsid w:val="00156C62"/>
    <w:rsid w:val="0016002F"/>
    <w:rsid w:val="00166878"/>
    <w:rsid w:val="001719FB"/>
    <w:rsid w:val="00175796"/>
    <w:rsid w:val="0019531F"/>
    <w:rsid w:val="00196407"/>
    <w:rsid w:val="001C3907"/>
    <w:rsid w:val="001C430F"/>
    <w:rsid w:val="001D4DD1"/>
    <w:rsid w:val="001D5147"/>
    <w:rsid w:val="002005C9"/>
    <w:rsid w:val="00220D9A"/>
    <w:rsid w:val="00222131"/>
    <w:rsid w:val="0022302F"/>
    <w:rsid w:val="002237A4"/>
    <w:rsid w:val="00231166"/>
    <w:rsid w:val="00233909"/>
    <w:rsid w:val="002432AB"/>
    <w:rsid w:val="00265BC1"/>
    <w:rsid w:val="00270E9A"/>
    <w:rsid w:val="00274A66"/>
    <w:rsid w:val="00281D7D"/>
    <w:rsid w:val="0029264A"/>
    <w:rsid w:val="002A2848"/>
    <w:rsid w:val="002B5FFC"/>
    <w:rsid w:val="002D0835"/>
    <w:rsid w:val="002E5EED"/>
    <w:rsid w:val="00310B3A"/>
    <w:rsid w:val="00310E49"/>
    <w:rsid w:val="003358DF"/>
    <w:rsid w:val="003465A1"/>
    <w:rsid w:val="00351776"/>
    <w:rsid w:val="00370FCC"/>
    <w:rsid w:val="00382DB1"/>
    <w:rsid w:val="00397518"/>
    <w:rsid w:val="003A0C6A"/>
    <w:rsid w:val="003A308C"/>
    <w:rsid w:val="003C74F9"/>
    <w:rsid w:val="003D511D"/>
    <w:rsid w:val="003D6C28"/>
    <w:rsid w:val="003E50B7"/>
    <w:rsid w:val="003E5521"/>
    <w:rsid w:val="003F3C29"/>
    <w:rsid w:val="003F5145"/>
    <w:rsid w:val="00407F8F"/>
    <w:rsid w:val="004171DE"/>
    <w:rsid w:val="00421B03"/>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264DC"/>
    <w:rsid w:val="00543833"/>
    <w:rsid w:val="00544A69"/>
    <w:rsid w:val="00545677"/>
    <w:rsid w:val="0054727F"/>
    <w:rsid w:val="005472DB"/>
    <w:rsid w:val="00567569"/>
    <w:rsid w:val="005902A5"/>
    <w:rsid w:val="00592307"/>
    <w:rsid w:val="0059300C"/>
    <w:rsid w:val="005A3CBA"/>
    <w:rsid w:val="005A5633"/>
    <w:rsid w:val="005C06F2"/>
    <w:rsid w:val="005D2272"/>
    <w:rsid w:val="005D7319"/>
    <w:rsid w:val="005E1C7F"/>
    <w:rsid w:val="005F1AD9"/>
    <w:rsid w:val="0061433F"/>
    <w:rsid w:val="00614FD7"/>
    <w:rsid w:val="00620339"/>
    <w:rsid w:val="00622ECB"/>
    <w:rsid w:val="00641ADF"/>
    <w:rsid w:val="006433A1"/>
    <w:rsid w:val="006740CA"/>
    <w:rsid w:val="00677838"/>
    <w:rsid w:val="00680AB8"/>
    <w:rsid w:val="00681D8B"/>
    <w:rsid w:val="00681EFC"/>
    <w:rsid w:val="00686F14"/>
    <w:rsid w:val="006876AE"/>
    <w:rsid w:val="00694030"/>
    <w:rsid w:val="006943DE"/>
    <w:rsid w:val="006C0C1B"/>
    <w:rsid w:val="006E32EF"/>
    <w:rsid w:val="006E6100"/>
    <w:rsid w:val="0071147B"/>
    <w:rsid w:val="00711885"/>
    <w:rsid w:val="00747823"/>
    <w:rsid w:val="007669FD"/>
    <w:rsid w:val="00780179"/>
    <w:rsid w:val="007820CC"/>
    <w:rsid w:val="007A00DF"/>
    <w:rsid w:val="007D173A"/>
    <w:rsid w:val="007D2A59"/>
    <w:rsid w:val="00805810"/>
    <w:rsid w:val="00815A84"/>
    <w:rsid w:val="00816591"/>
    <w:rsid w:val="0083359D"/>
    <w:rsid w:val="0084174D"/>
    <w:rsid w:val="00843FBF"/>
    <w:rsid w:val="008652E0"/>
    <w:rsid w:val="00873864"/>
    <w:rsid w:val="0087399A"/>
    <w:rsid w:val="0087537B"/>
    <w:rsid w:val="00881D1A"/>
    <w:rsid w:val="008E5720"/>
    <w:rsid w:val="00932749"/>
    <w:rsid w:val="009364EF"/>
    <w:rsid w:val="00956D75"/>
    <w:rsid w:val="00957451"/>
    <w:rsid w:val="0096097B"/>
    <w:rsid w:val="00973385"/>
    <w:rsid w:val="00976742"/>
    <w:rsid w:val="00980BF4"/>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86F7D"/>
    <w:rsid w:val="00AB2C9A"/>
    <w:rsid w:val="00AE4C1A"/>
    <w:rsid w:val="00AE5A59"/>
    <w:rsid w:val="00B063BA"/>
    <w:rsid w:val="00B108E3"/>
    <w:rsid w:val="00B122A8"/>
    <w:rsid w:val="00B1641A"/>
    <w:rsid w:val="00B21AAF"/>
    <w:rsid w:val="00B25751"/>
    <w:rsid w:val="00B3503F"/>
    <w:rsid w:val="00B80CAC"/>
    <w:rsid w:val="00B92BEF"/>
    <w:rsid w:val="00B93981"/>
    <w:rsid w:val="00B9665B"/>
    <w:rsid w:val="00BB3962"/>
    <w:rsid w:val="00BB3B07"/>
    <w:rsid w:val="00BB73D6"/>
    <w:rsid w:val="00BC2C31"/>
    <w:rsid w:val="00BD61F2"/>
    <w:rsid w:val="00BE52CB"/>
    <w:rsid w:val="00C162B8"/>
    <w:rsid w:val="00C16B05"/>
    <w:rsid w:val="00C350E5"/>
    <w:rsid w:val="00C57420"/>
    <w:rsid w:val="00C63246"/>
    <w:rsid w:val="00C75B08"/>
    <w:rsid w:val="00C84C81"/>
    <w:rsid w:val="00C92B8F"/>
    <w:rsid w:val="00C92F7C"/>
    <w:rsid w:val="00C9668D"/>
    <w:rsid w:val="00CA1DA2"/>
    <w:rsid w:val="00CB1AD0"/>
    <w:rsid w:val="00CB5345"/>
    <w:rsid w:val="00CB5631"/>
    <w:rsid w:val="00CF0FAF"/>
    <w:rsid w:val="00CF18ED"/>
    <w:rsid w:val="00CF232B"/>
    <w:rsid w:val="00CF4BF3"/>
    <w:rsid w:val="00CF5EF5"/>
    <w:rsid w:val="00D32092"/>
    <w:rsid w:val="00D576EF"/>
    <w:rsid w:val="00D706B5"/>
    <w:rsid w:val="00D8469B"/>
    <w:rsid w:val="00D84B71"/>
    <w:rsid w:val="00D92F63"/>
    <w:rsid w:val="00DC2E95"/>
    <w:rsid w:val="00DD0F9A"/>
    <w:rsid w:val="00DD3BD4"/>
    <w:rsid w:val="00E056E1"/>
    <w:rsid w:val="00E463B4"/>
    <w:rsid w:val="00E57562"/>
    <w:rsid w:val="00E9199D"/>
    <w:rsid w:val="00EA3F47"/>
    <w:rsid w:val="00EA628A"/>
    <w:rsid w:val="00ED143E"/>
    <w:rsid w:val="00EE201E"/>
    <w:rsid w:val="00F124C2"/>
    <w:rsid w:val="00F34D24"/>
    <w:rsid w:val="00F3516E"/>
    <w:rsid w:val="00F42671"/>
    <w:rsid w:val="00F4445B"/>
    <w:rsid w:val="00F834E5"/>
    <w:rsid w:val="00FA3258"/>
    <w:rsid w:val="00FC58E4"/>
    <w:rsid w:val="00FC7681"/>
    <w:rsid w:val="00FD2DA6"/>
    <w:rsid w:val="00FE5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B5B04"/>
  <w15:docId w15:val="{5EDFAD4B-40B5-4FA6-A427-4F5B6634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B73D6"/>
    <w:pPr>
      <w:spacing w:after="120"/>
    </w:pPr>
  </w:style>
  <w:style w:type="paragraph" w:styleId="Heading1">
    <w:name w:val="heading 1"/>
    <w:basedOn w:val="Heading2"/>
    <w:next w:val="Normal"/>
    <w:link w:val="Heading1Char"/>
    <w:qFormat/>
    <w:rsid w:val="00C162B8"/>
    <w:pPr>
      <w:pBdr>
        <w:top w:val="single" w:sz="4" w:space="1" w:color="auto"/>
        <w:bottom w:val="single" w:sz="4" w:space="1" w:color="auto"/>
      </w:pBdr>
      <w:spacing w:before="200" w:after="200" w:line="360" w:lineRule="auto"/>
      <w:jc w:val="center"/>
      <w:outlineLvl w:val="0"/>
    </w:pPr>
    <w:rPr>
      <w:caps/>
    </w:rPr>
  </w:style>
  <w:style w:type="paragraph" w:styleId="Heading2">
    <w:name w:val="heading 2"/>
    <w:basedOn w:val="Normal"/>
    <w:next w:val="Normal"/>
    <w:link w:val="Heading2Char"/>
    <w:qFormat/>
    <w:rsid w:val="006943DE"/>
    <w:pPr>
      <w:keepNext/>
      <w:outlineLvl w:val="1"/>
    </w:pPr>
    <w:rPr>
      <w:rFonts w:cs="Arial"/>
      <w:b/>
      <w:bCs/>
      <w:iCs/>
      <w:color w:val="404040" w:themeColor="text1" w:themeTint="BF"/>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B25751"/>
    <w:pPr>
      <w:spacing w:after="60"/>
    </w:pPr>
    <w:rPr>
      <w:rFonts w:ascii="Arial Black" w:hAnsi="Arial Black"/>
      <w:b/>
      <w:caps/>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162B8"/>
    <w:rPr>
      <w:rFonts w:cs="Arial"/>
      <w:b/>
      <w:bCs/>
      <w:iCs/>
      <w:caps/>
      <w:color w:val="404040" w:themeColor="text1" w:themeTint="BF"/>
      <w:sz w:val="24"/>
      <w:szCs w:val="24"/>
      <w:lang w:eastAsia="en-US"/>
    </w:rPr>
  </w:style>
  <w:style w:type="character" w:customStyle="1" w:styleId="Heading2Char">
    <w:name w:val="Heading 2 Char"/>
    <w:link w:val="Heading2"/>
    <w:rsid w:val="006943DE"/>
    <w:rPr>
      <w:rFonts w:cs="Arial"/>
      <w:b/>
      <w:bCs/>
      <w:iCs/>
      <w:color w:val="404040" w:themeColor="text1" w:themeTint="BF"/>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5F1AD9"/>
    <w:pPr>
      <w:spacing w:after="200" w:line="240" w:lineRule="auto"/>
    </w:pPr>
    <w:rPr>
      <w:sz w:val="21"/>
      <w:szCs w:val="21"/>
    </w:rPr>
  </w:style>
  <w:style w:type="character" w:customStyle="1" w:styleId="BodyTextChar">
    <w:name w:val="Body Text Char"/>
    <w:basedOn w:val="DefaultParagraphFont"/>
    <w:link w:val="BodyText"/>
    <w:rsid w:val="005F1AD9"/>
    <w:rPr>
      <w:sz w:val="21"/>
      <w:szCs w:val="21"/>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styleId="List">
    <w:name w:val="List"/>
    <w:basedOn w:val="Normal"/>
    <w:semiHidden/>
    <w:unhideWhenUsed/>
    <w:locked/>
    <w:rsid w:val="00C9668D"/>
    <w:pPr>
      <w:ind w:left="283" w:hanging="283"/>
      <w:contextualSpacing/>
    </w:pPr>
  </w:style>
  <w:style w:type="character" w:styleId="UnresolvedMention">
    <w:name w:val="Unresolved Mention"/>
    <w:basedOn w:val="DefaultParagraphFont"/>
    <w:uiPriority w:val="99"/>
    <w:semiHidden/>
    <w:unhideWhenUsed/>
    <w:rsid w:val="0059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edback@dsdsatsip.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edback@dsdsatsip.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DSDSATSIP operational procedure template</vt:lpstr>
    </vt:vector>
  </TitlesOfParts>
  <Manager/>
  <Company>Queensland Government</Company>
  <LinksUpToDate>false</LinksUpToDate>
  <CharactersWithSpaces>6509</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Human Rights Complaint</dc:title>
  <dc:subject>Making a Human Rights Complaint</dc:subject>
  <dc:creator>Queensland Government</dc:creator>
  <cp:keywords>human rights complaint</cp:keywords>
  <dc:description>Solid agenda operational procedure template in A4 portrait</dc:description>
  <cp:lastModifiedBy>Tanya R Campbell</cp:lastModifiedBy>
  <cp:revision>2</cp:revision>
  <cp:lastPrinted>2009-04-20T04:42:00Z</cp:lastPrinted>
  <dcterms:created xsi:type="dcterms:W3CDTF">2023-10-20T03:36:00Z</dcterms:created>
  <dcterms:modified xsi:type="dcterms:W3CDTF">2023-10-20T03:36:00Z</dcterms:modified>
  <cp:category>Factsheet template</cp:category>
</cp:coreProperties>
</file>