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38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7228" cy="103949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28" cy="1039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Title"/>
        <w:spacing w:before="51"/>
        <w:ind w:left="100"/>
        <w:jc w:val="both"/>
      </w:pPr>
      <w:r>
        <w:rPr>
          <w:rFonts w:ascii="Calibri" w:hAnsi="Calibri"/>
          <w:sz w:val="28"/>
        </w:rPr>
        <w:t>COMMUNIQUE</w:t>
      </w:r>
      <w:r>
        <w:rPr>
          <w:rFonts w:ascii="Calibri" w:hAnsi="Calibri"/>
          <w:spacing w:val="-3"/>
          <w:sz w:val="28"/>
        </w:rPr>
        <w:t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3"/>
          <w:sz w:val="28"/>
        </w:rPr>
        <w:t> </w:t>
      </w:r>
      <w:r>
        <w:rPr/>
        <w:t>Queensland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Board</w:t>
      </w:r>
      <w:r>
        <w:rPr>
          <w:spacing w:val="2"/>
        </w:rPr>
        <w:t> </w:t>
      </w:r>
      <w:r>
        <w:rPr/>
        <w:t>Meeting</w:t>
      </w:r>
    </w:p>
    <w:p>
      <w:pPr>
        <w:pStyle w:val="Title"/>
        <w:ind w:right="110"/>
      </w:pPr>
      <w:r>
        <w:rPr/>
        <w:t>15</w:t>
      </w:r>
      <w:r>
        <w:rPr>
          <w:spacing w:val="-1"/>
        </w:rPr>
        <w:t> </w:t>
      </w:r>
      <w:r>
        <w:rPr/>
        <w:t>March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00" w:right="110" w:firstLine="0"/>
        <w:jc w:val="both"/>
        <w:rPr>
          <w:sz w:val="22"/>
        </w:rPr>
      </w:pP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15</w:t>
      </w:r>
      <w:r>
        <w:rPr>
          <w:spacing w:val="-8"/>
          <w:sz w:val="22"/>
        </w:rPr>
        <w:t> </w:t>
      </w:r>
      <w:r>
        <w:rPr>
          <w:sz w:val="22"/>
        </w:rPr>
        <w:t>March</w:t>
      </w:r>
      <w:r>
        <w:rPr>
          <w:spacing w:val="-5"/>
          <w:sz w:val="22"/>
        </w:rPr>
        <w:t> </w:t>
      </w:r>
      <w:r>
        <w:rPr>
          <w:sz w:val="22"/>
        </w:rPr>
        <w:t>2022,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Queensland</w:t>
      </w:r>
      <w:r>
        <w:rPr>
          <w:spacing w:val="-5"/>
          <w:sz w:val="22"/>
        </w:rPr>
        <w:t> </w:t>
      </w: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Children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Families</w:t>
      </w:r>
      <w:r>
        <w:rPr>
          <w:spacing w:val="-5"/>
          <w:sz w:val="22"/>
        </w:rPr>
        <w:t> </w:t>
      </w:r>
      <w:r>
        <w:rPr>
          <w:sz w:val="22"/>
        </w:rPr>
        <w:t>Board</w:t>
      </w:r>
      <w:r>
        <w:rPr>
          <w:spacing w:val="-5"/>
          <w:sz w:val="22"/>
        </w:rPr>
        <w:t> </w:t>
      </w:r>
      <w:r>
        <w:rPr>
          <w:sz w:val="22"/>
        </w:rPr>
        <w:t>(the</w:t>
      </w:r>
      <w:r>
        <w:rPr>
          <w:spacing w:val="-5"/>
          <w:sz w:val="22"/>
        </w:rPr>
        <w:t> </w:t>
      </w:r>
      <w:r>
        <w:rPr>
          <w:sz w:val="22"/>
        </w:rPr>
        <w:t>Board),</w:t>
      </w:r>
      <w:r>
        <w:rPr>
          <w:spacing w:val="-4"/>
          <w:sz w:val="22"/>
        </w:rPr>
        <w:t> </w:t>
      </w:r>
      <w:r>
        <w:rPr>
          <w:sz w:val="22"/>
        </w:rPr>
        <w:t>convened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9"/>
          <w:sz w:val="22"/>
        </w:rPr>
        <w:t> </w:t>
      </w:r>
      <w:r>
        <w:rPr>
          <w:sz w:val="22"/>
        </w:rPr>
        <w:t>guide a number of key priorities supporting the implementation of the </w:t>
      </w:r>
      <w:r>
        <w:rPr>
          <w:i/>
          <w:sz w:val="22"/>
        </w:rPr>
        <w:t>Our Way strategy: a generational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Aboriginal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Torres Strait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Islander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children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families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2017-2037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BodyText"/>
        <w:ind w:left="96" w:right="110"/>
        <w:jc w:val="center"/>
      </w:pPr>
      <w:r>
        <w:rPr/>
        <w:t>The</w:t>
      </w:r>
      <w:r>
        <w:rPr>
          <w:spacing w:val="-13"/>
        </w:rPr>
        <w:t> </w:t>
      </w:r>
      <w:r>
        <w:rPr/>
        <w:t>Board</w:t>
      </w:r>
      <w:r>
        <w:rPr>
          <w:spacing w:val="-14"/>
        </w:rPr>
        <w:t> </w:t>
      </w:r>
      <w:r>
        <w:rPr/>
        <w:t>met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truncated</w:t>
      </w:r>
      <w:r>
        <w:rPr>
          <w:spacing w:val="-12"/>
        </w:rPr>
        <w:t> </w:t>
      </w:r>
      <w:r>
        <w:rPr/>
        <w:t>virtual</w:t>
      </w:r>
      <w:r>
        <w:rPr>
          <w:spacing w:val="-12"/>
        </w:rPr>
        <w:t> </w:t>
      </w:r>
      <w:r>
        <w:rPr/>
        <w:t>meeting</w:t>
      </w:r>
      <w:r>
        <w:rPr>
          <w:spacing w:val="-12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ongoing</w:t>
      </w:r>
      <w:r>
        <w:rPr>
          <w:spacing w:val="-13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corona</w:t>
      </w:r>
      <w:r>
        <w:rPr>
          <w:spacing w:val="-13"/>
        </w:rPr>
        <w:t> </w:t>
      </w:r>
      <w:r>
        <w:rPr/>
        <w:t>virus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community.</w:t>
      </w:r>
    </w:p>
    <w:p>
      <w:pPr>
        <w:pStyle w:val="BodyText"/>
      </w:pPr>
    </w:p>
    <w:p>
      <w:pPr>
        <w:pStyle w:val="BodyText"/>
        <w:ind w:left="100" w:right="111"/>
        <w:jc w:val="both"/>
      </w:pPr>
      <w:r>
        <w:rPr/>
        <w:t>The Director-General, Department of Children, Youth Justice and Multicultural Affairs (department), Ms</w:t>
      </w:r>
      <w:r>
        <w:rPr>
          <w:spacing w:val="1"/>
        </w:rPr>
        <w:t> </w:t>
      </w:r>
      <w:r>
        <w:rPr/>
        <w:t>Deidre Mulkerin provided an update on key points relating to the Board’s priorities and a snapshot of key</w:t>
      </w:r>
      <w:r>
        <w:rPr>
          <w:spacing w:val="1"/>
        </w:rPr>
        <w:t> </w:t>
      </w:r>
      <w:r>
        <w:rPr/>
        <w:t>child protection data as it relates to progress towards addressing the disproportionate representation of</w:t>
      </w:r>
      <w:r>
        <w:rPr>
          <w:spacing w:val="1"/>
        </w:rPr>
        <w:t> </w:t>
      </w:r>
      <w:r>
        <w:rPr/>
        <w:t>Aboriginal</w:t>
      </w:r>
      <w:r>
        <w:rPr>
          <w:spacing w:val="-1"/>
        </w:rPr>
        <w:t> </w:t>
      </w:r>
      <w:r>
        <w:rPr/>
        <w:t>and Torres</w:t>
      </w:r>
      <w:r>
        <w:rPr>
          <w:spacing w:val="1"/>
        </w:rPr>
        <w:t> </w:t>
      </w:r>
      <w:r>
        <w:rPr/>
        <w:t>Strait</w:t>
      </w:r>
      <w:r>
        <w:rPr>
          <w:spacing w:val="2"/>
        </w:rPr>
        <w:t> </w:t>
      </w:r>
      <w:r>
        <w:rPr/>
        <w:t>Islander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before="1"/>
      </w:pPr>
    </w:p>
    <w:p>
      <w:pPr>
        <w:pStyle w:val="BodyText"/>
        <w:ind w:left="100" w:right="111"/>
        <w:jc w:val="both"/>
      </w:pPr>
      <w:r>
        <w:rPr/>
        <w:t>Members were provided an update on the department’s key priorities including the removal of structured</w:t>
      </w:r>
      <w:r>
        <w:rPr>
          <w:spacing w:val="1"/>
        </w:rPr>
        <w:t> </w:t>
      </w:r>
      <w:r>
        <w:rPr/>
        <w:t>decision-making tools from practice to mitigate for unintended risks and impact on Aboriginal and Torres</w:t>
      </w:r>
      <w:r>
        <w:rPr>
          <w:spacing w:val="1"/>
        </w:rPr>
        <w:t> </w:t>
      </w:r>
      <w:r>
        <w:rPr/>
        <w:t>strait Islander families – Queensland is the first state to withdraw such tools. New decision-making tools will</w:t>
      </w:r>
      <w:r>
        <w:rPr>
          <w:spacing w:val="-59"/>
        </w:rPr>
        <w:t> </w:t>
      </w:r>
      <w:r>
        <w:rPr/>
        <w:t>be</w:t>
      </w:r>
      <w:r>
        <w:rPr>
          <w:spacing w:val="-5"/>
        </w:rPr>
        <w:t> </w:t>
      </w:r>
      <w:r>
        <w:rPr/>
        <w:t>co-designed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Aboriginal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Torres</w:t>
      </w:r>
      <w:r>
        <w:rPr>
          <w:spacing w:val="-6"/>
        </w:rPr>
        <w:t> </w:t>
      </w:r>
      <w:r>
        <w:rPr/>
        <w:t>Strait</w:t>
      </w:r>
      <w:r>
        <w:rPr>
          <w:spacing w:val="-6"/>
        </w:rPr>
        <w:t> </w:t>
      </w:r>
      <w:r>
        <w:rPr/>
        <w:t>Islander</w:t>
      </w:r>
      <w:r>
        <w:rPr>
          <w:spacing w:val="-4"/>
        </w:rPr>
        <w:t> </w:t>
      </w:r>
      <w:r>
        <w:rPr/>
        <w:t>stakeholders,</w:t>
      </w:r>
      <w:r>
        <w:rPr>
          <w:spacing w:val="-3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Queensland</w:t>
      </w:r>
      <w:r>
        <w:rPr>
          <w:spacing w:val="-5"/>
        </w:rPr>
        <w:t> </w:t>
      </w:r>
      <w:r>
        <w:rPr/>
        <w:t>Aboriginal</w:t>
      </w:r>
      <w:r>
        <w:rPr>
          <w:spacing w:val="-59"/>
        </w:rPr>
        <w:t> </w:t>
      </w:r>
      <w:r>
        <w:rPr/>
        <w:t>and Torres Strait Islander Child Protection Peak (QATSICPP) to ensure the system better meets the needs</w:t>
      </w:r>
      <w:r>
        <w:rPr>
          <w:spacing w:val="1"/>
        </w:rPr>
        <w:t> </w:t>
      </w:r>
      <w:r>
        <w:rPr/>
        <w:t>of Aboriginal and Torres Strait Islander children and families. Board members acknowledged the challenges</w:t>
      </w:r>
      <w:r>
        <w:rPr>
          <w:spacing w:val="-60"/>
        </w:rPr>
        <w:t> </w:t>
      </w:r>
      <w:r>
        <w:rPr/>
        <w:t>and opportunities for Queensland to demonstrate the way forward for other states and territories to achieve</w:t>
      </w:r>
      <w:r>
        <w:rPr>
          <w:spacing w:val="1"/>
        </w:rPr>
        <w:t> </w:t>
      </w:r>
      <w:r>
        <w:rPr/>
        <w:t>more</w:t>
      </w:r>
      <w:r>
        <w:rPr>
          <w:spacing w:val="-6"/>
        </w:rPr>
        <w:t> </w:t>
      </w:r>
      <w:r>
        <w:rPr/>
        <w:t>culturally</w:t>
      </w:r>
      <w:r>
        <w:rPr>
          <w:spacing w:val="-4"/>
        </w:rPr>
        <w:t> </w:t>
      </w:r>
      <w:r>
        <w:rPr/>
        <w:t>safe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responsive</w:t>
      </w:r>
      <w:r>
        <w:rPr>
          <w:spacing w:val="-2"/>
        </w:rPr>
        <w:t> </w:t>
      </w:r>
      <w:r>
        <w:rPr/>
        <w:t>ways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Aboriginal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Torres</w:t>
      </w:r>
      <w:r>
        <w:rPr>
          <w:spacing w:val="-4"/>
        </w:rPr>
        <w:t> </w:t>
      </w:r>
      <w:r>
        <w:rPr/>
        <w:t>Strait</w:t>
      </w:r>
      <w:r>
        <w:rPr>
          <w:spacing w:val="-5"/>
        </w:rPr>
        <w:t> </w:t>
      </w:r>
      <w:r>
        <w:rPr/>
        <w:t>Islander</w:t>
      </w:r>
      <w:r>
        <w:rPr>
          <w:spacing w:val="-6"/>
        </w:rPr>
        <w:t> </w:t>
      </w:r>
      <w:r>
        <w:rPr/>
        <w:t>children.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 w:right="765"/>
      </w:pPr>
      <w:r>
        <w:rPr/>
        <w:t>Members noted progress by the department and QATSICPP to develop the blueprint for delegated</w:t>
      </w:r>
      <w:r>
        <w:rPr>
          <w:spacing w:val="1"/>
        </w:rPr>
        <w:t> </w:t>
      </w:r>
      <w:r>
        <w:rPr/>
        <w:t>authority to grow the Aboriginal and Torres Strait Islander workforce, with a goal to implement across</w:t>
      </w:r>
      <w:r>
        <w:rPr>
          <w:spacing w:val="-59"/>
        </w:rPr>
        <w:t> </w:t>
      </w:r>
      <w:r>
        <w:rPr/>
        <w:t>Queensland in</w:t>
      </w:r>
      <w:r>
        <w:rPr>
          <w:spacing w:val="-3"/>
        </w:rPr>
        <w:t> </w:t>
      </w:r>
      <w:r>
        <w:rPr/>
        <w:t>ten</w:t>
      </w:r>
      <w:r>
        <w:rPr>
          <w:spacing w:val="-3"/>
        </w:rPr>
        <w:t> </w:t>
      </w:r>
      <w:r>
        <w:rPr/>
        <w:t>years,</w:t>
      </w:r>
      <w:r>
        <w:rPr>
          <w:spacing w:val="-2"/>
        </w:rPr>
        <w:t> </w:t>
      </w:r>
      <w:r>
        <w:rPr/>
        <w:t>with initial</w:t>
      </w:r>
      <w:r>
        <w:rPr>
          <w:spacing w:val="-2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instigated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scale up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two years.</w:t>
      </w:r>
    </w:p>
    <w:p>
      <w:pPr>
        <w:pStyle w:val="BodyText"/>
        <w:spacing w:before="1"/>
      </w:pPr>
    </w:p>
    <w:p>
      <w:pPr>
        <w:pStyle w:val="BodyText"/>
        <w:ind w:left="100" w:right="691"/>
      </w:pPr>
      <w:r>
        <w:rPr/>
        <w:t>Members acknowledged the Delegated Authority Action Research Project five key areas of focus -</w:t>
      </w:r>
      <w:r>
        <w:rPr>
          <w:spacing w:val="1"/>
        </w:rPr>
        <w:t> </w:t>
      </w:r>
      <w:r>
        <w:rPr/>
        <w:t>enablers/ barriers to success, systemic changes, supports for healthy relationships (e.g., the personal</w:t>
      </w:r>
      <w:r>
        <w:rPr>
          <w:spacing w:val="-59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shared approach) 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leadership to</w:t>
      </w:r>
      <w:r>
        <w:rPr>
          <w:spacing w:val="-3"/>
        </w:rPr>
        <w:t> </w:t>
      </w:r>
      <w:r>
        <w:rPr/>
        <w:t>success.</w:t>
      </w:r>
    </w:p>
    <w:p>
      <w:pPr>
        <w:pStyle w:val="BodyText"/>
        <w:spacing w:before="1"/>
      </w:pPr>
    </w:p>
    <w:p>
      <w:pPr>
        <w:pStyle w:val="BodyText"/>
        <w:ind w:left="100" w:right="252"/>
      </w:pPr>
      <w:r>
        <w:rPr/>
        <w:t>The Director-General reinforced the department’s commitment to Placement Reform, to reduce placement</w:t>
      </w:r>
      <w:r>
        <w:rPr>
          <w:spacing w:val="-59"/>
        </w:rPr>
        <w:t> </w:t>
      </w:r>
      <w:r>
        <w:rPr/>
        <w:t>pressures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provide better</w:t>
      </w:r>
      <w:r>
        <w:rPr>
          <w:spacing w:val="1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through: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21" w:val="left" w:leader="none"/>
        </w:tabs>
        <w:spacing w:line="251" w:lineRule="exact" w:before="0" w:after="0"/>
        <w:ind w:left="520" w:right="0" w:hanging="361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family</w:t>
      </w:r>
      <w:r>
        <w:rPr>
          <w:spacing w:val="-1"/>
          <w:sz w:val="22"/>
        </w:rPr>
        <w:t> </w:t>
      </w:r>
      <w:r>
        <w:rPr>
          <w:sz w:val="22"/>
        </w:rPr>
        <w:t>funding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Aboriginal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Torres Strait</w:t>
      </w:r>
      <w:r>
        <w:rPr>
          <w:spacing w:val="-3"/>
          <w:sz w:val="22"/>
        </w:rPr>
        <w:t> </w:t>
      </w:r>
      <w:r>
        <w:rPr>
          <w:sz w:val="22"/>
        </w:rPr>
        <w:t>Islander sector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21" w:val="left" w:leader="none"/>
        </w:tabs>
        <w:spacing w:line="252" w:lineRule="exact" w:before="1" w:after="0"/>
        <w:ind w:left="520" w:right="0" w:hanging="361"/>
        <w:jc w:val="left"/>
        <w:rPr>
          <w:sz w:val="22"/>
        </w:rPr>
      </w:pPr>
      <w:r>
        <w:rPr>
          <w:sz w:val="22"/>
        </w:rPr>
        <w:t>Halving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children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young</w:t>
      </w:r>
      <w:r>
        <w:rPr>
          <w:spacing w:val="-3"/>
          <w:sz w:val="22"/>
        </w:rPr>
        <w:t> </w:t>
      </w:r>
      <w:r>
        <w:rPr>
          <w:sz w:val="22"/>
        </w:rPr>
        <w:t>people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residential</w:t>
      </w:r>
      <w:r>
        <w:rPr>
          <w:spacing w:val="-1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  <w:tab w:pos="521" w:val="left" w:leader="none"/>
        </w:tabs>
        <w:spacing w:line="252" w:lineRule="exact" w:before="0" w:after="0"/>
        <w:ind w:left="520" w:right="0" w:hanging="361"/>
        <w:jc w:val="left"/>
        <w:rPr>
          <w:sz w:val="22"/>
        </w:rPr>
      </w:pPr>
      <w:r>
        <w:rPr>
          <w:sz w:val="22"/>
        </w:rPr>
        <w:t>Doubling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number of</w:t>
      </w:r>
      <w:r>
        <w:rPr>
          <w:spacing w:val="-4"/>
          <w:sz w:val="22"/>
        </w:rPr>
        <w:t> </w:t>
      </w:r>
      <w:r>
        <w:rPr>
          <w:sz w:val="22"/>
        </w:rPr>
        <w:t>children</w:t>
      </w:r>
      <w:r>
        <w:rPr>
          <w:spacing w:val="-1"/>
          <w:sz w:val="22"/>
        </w:rPr>
        <w:t> </w:t>
      </w:r>
      <w:r>
        <w:rPr>
          <w:sz w:val="22"/>
        </w:rPr>
        <w:t>and young</w:t>
      </w:r>
      <w:r>
        <w:rPr>
          <w:spacing w:val="-4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cared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kin.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100"/>
      </w:pPr>
      <w:r>
        <w:rPr/>
        <w:t>The</w:t>
      </w:r>
      <w:r>
        <w:rPr>
          <w:spacing w:val="-1"/>
        </w:rPr>
        <w:t> </w:t>
      </w:r>
      <w:r>
        <w:rPr/>
        <w:t>Board discussed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plan, Breaking</w:t>
      </w:r>
      <w:r>
        <w:rPr>
          <w:spacing w:val="-1"/>
        </w:rPr>
        <w:t> </w:t>
      </w:r>
      <w:r>
        <w:rPr/>
        <w:t>Cycles</w:t>
      </w:r>
      <w:r>
        <w:rPr>
          <w:spacing w:val="-1"/>
        </w:rPr>
        <w:t> </w:t>
      </w:r>
      <w:r>
        <w:rPr/>
        <w:t>(2023-2025).</w:t>
      </w:r>
    </w:p>
    <w:p>
      <w:pPr>
        <w:pStyle w:val="BodyText"/>
        <w:ind w:left="100" w:right="324"/>
      </w:pPr>
      <w:r>
        <w:rPr/>
        <w:t>A Road Map was tabled outlining how the Breaking Cycles actions will be co-designed in partnership with</w:t>
      </w:r>
      <w:r>
        <w:rPr>
          <w:spacing w:val="-59"/>
        </w:rPr>
        <w:t> </w:t>
      </w:r>
      <w:r>
        <w:rPr/>
        <w:t>the</w:t>
      </w:r>
      <w:r>
        <w:rPr>
          <w:spacing w:val="-3"/>
        </w:rPr>
        <w:t> </w:t>
      </w:r>
      <w:r>
        <w:rPr/>
        <w:t>Queensland</w:t>
      </w:r>
      <w:r>
        <w:rPr>
          <w:spacing w:val="-3"/>
        </w:rPr>
        <w:t> </w:t>
      </w:r>
      <w:r>
        <w:rPr/>
        <w:t>Government,</w:t>
      </w:r>
      <w:r>
        <w:rPr>
          <w:spacing w:val="3"/>
        </w:rPr>
        <w:t> </w:t>
      </w:r>
      <w:r>
        <w:rPr/>
        <w:t>Family</w:t>
      </w:r>
      <w:r>
        <w:rPr>
          <w:spacing w:val="-3"/>
        </w:rPr>
        <w:t> </w:t>
      </w:r>
      <w:r>
        <w:rPr/>
        <w:t>Matters</w:t>
      </w:r>
      <w:r>
        <w:rPr>
          <w:spacing w:val="-2"/>
        </w:rPr>
        <w:t> </w:t>
      </w:r>
      <w:r>
        <w:rPr/>
        <w:t>Queensland,</w:t>
      </w:r>
      <w:r>
        <w:rPr>
          <w:spacing w:val="-1"/>
        </w:rPr>
        <w:t> </w:t>
      </w:r>
      <w:r>
        <w:rPr/>
        <w:t>QATSICPP</w:t>
      </w:r>
      <w:r>
        <w:rPr>
          <w:spacing w:val="-1"/>
        </w:rPr>
        <w:t> </w:t>
      </w:r>
      <w:r>
        <w:rPr/>
        <w:t>and partner</w:t>
      </w:r>
      <w:r>
        <w:rPr>
          <w:spacing w:val="-2"/>
        </w:rPr>
        <w:t> </w:t>
      </w:r>
      <w:r>
        <w:rPr/>
        <w:t>agencies.</w:t>
      </w:r>
    </w:p>
    <w:p>
      <w:pPr>
        <w:pStyle w:val="BodyText"/>
        <w:spacing w:before="2"/>
      </w:pPr>
    </w:p>
    <w:p>
      <w:pPr>
        <w:pStyle w:val="BodyText"/>
        <w:ind w:left="100" w:right="252"/>
      </w:pPr>
      <w:r>
        <w:rPr/>
        <w:t>The Board emphasised the importance of interagency collective action to ensure a coordinated response</w:t>
      </w:r>
      <w:r>
        <w:rPr>
          <w:spacing w:val="-59"/>
        </w:rPr>
        <w:t> </w:t>
      </w:r>
      <w:r>
        <w:rPr/>
        <w:t>from government, as well as, ensuring that through state-wide stakeholder consultations, the voices of</w:t>
      </w:r>
      <w:r>
        <w:rPr>
          <w:spacing w:val="1"/>
        </w:rPr>
        <w:t> </w:t>
      </w:r>
      <w:r>
        <w:rPr/>
        <w:t>Aboriginal and Torres Strait Islander children, families, and communities are included in the co-design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Breaking</w:t>
      </w:r>
      <w:r>
        <w:rPr>
          <w:spacing w:val="-1"/>
        </w:rPr>
        <w:t> </w:t>
      </w:r>
      <w:r>
        <w:rPr/>
        <w:t>Cycles.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Breaking</w:t>
      </w:r>
      <w:r>
        <w:rPr>
          <w:spacing w:val="-1"/>
        </w:rPr>
        <w:t> </w:t>
      </w:r>
      <w:r>
        <w:rPr/>
        <w:t>Cycles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is due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ind w:left="100" w:right="141"/>
      </w:pPr>
      <w:r>
        <w:rPr/>
        <w:t>Board members to agree performance measures to monitor the progress of implementation of the Our Way</w:t>
      </w:r>
      <w:r>
        <w:rPr>
          <w:spacing w:val="-59"/>
        </w:rPr>
        <w:t> </w:t>
      </w:r>
      <w:r>
        <w:rPr/>
        <w:t>strategy to eliminate the disproportionate representation of Aboriginal and Torres Strait Islander children in</w:t>
      </w:r>
      <w:r>
        <w:rPr>
          <w:spacing w:val="1"/>
        </w:rPr>
        <w:t> </w:t>
      </w:r>
      <w:r>
        <w:rPr/>
        <w:t>the Queensland child protection system. The agreed data will be presented to the Board by the department</w:t>
      </w:r>
      <w:r>
        <w:rPr>
          <w:spacing w:val="-59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</w:t>
      </w:r>
      <w:r>
        <w:rPr>
          <w:spacing w:val="1"/>
        </w:rPr>
        <w:t> </w:t>
      </w:r>
      <w:r>
        <w:rPr/>
        <w:t>basis</w:t>
      </w:r>
      <w:r>
        <w:rPr>
          <w:spacing w:val="-2"/>
        </w:rPr>
        <w:t> </w:t>
      </w:r>
      <w:r>
        <w:rPr/>
        <w:t>including trends and supporting</w:t>
      </w:r>
      <w:r>
        <w:rPr>
          <w:spacing w:val="-2"/>
        </w:rPr>
        <w:t> </w:t>
      </w:r>
      <w:r>
        <w:rPr/>
        <w:t>narrative.</w:t>
      </w:r>
    </w:p>
    <w:p>
      <w:pPr>
        <w:spacing w:after="0"/>
        <w:sectPr>
          <w:type w:val="continuous"/>
          <w:pgSz w:w="11900" w:h="16850"/>
          <w:pgMar w:top="1600" w:bottom="280" w:left="620" w:right="6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7228" cy="10389062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228" cy="1038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94"/>
        <w:ind w:left="100" w:right="141"/>
      </w:pPr>
      <w:r>
        <w:rPr/>
        <w:t>Deputy Director-General, Youth Justice, Mr Phillip Brooks attended the Board meeting to discuss the Youth</w:t>
      </w:r>
      <w:r>
        <w:rPr>
          <w:spacing w:val="-59"/>
        </w:rPr>
        <w:t> </w:t>
      </w:r>
      <w:r>
        <w:rPr/>
        <w:t>Justice Reform agenda, noting that disproportionate representation of Aboriginal and Torres Strait Islander</w:t>
      </w:r>
      <w:r>
        <w:rPr>
          <w:spacing w:val="1"/>
        </w:rPr>
        <w:t> </w:t>
      </w:r>
      <w:r>
        <w:rPr/>
        <w:t>children in child protection and youth justice system are not mutually exclusive, risk factors are similar and</w:t>
      </w:r>
      <w:r>
        <w:rPr>
          <w:spacing w:val="1"/>
        </w:rPr>
        <w:t> </w:t>
      </w:r>
      <w:r>
        <w:rPr/>
        <w:t>many Aboriginal and</w:t>
      </w:r>
      <w:r>
        <w:rPr>
          <w:spacing w:val="-1"/>
        </w:rPr>
        <w:t> </w:t>
      </w:r>
      <w:r>
        <w:rPr/>
        <w:t>Torres strait</w:t>
      </w:r>
      <w:r>
        <w:rPr>
          <w:spacing w:val="1"/>
        </w:rPr>
        <w:t> </w:t>
      </w:r>
      <w:r>
        <w:rPr/>
        <w:t>islander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families</w:t>
      </w:r>
      <w:r>
        <w:rPr>
          <w:spacing w:val="3"/>
        </w:rPr>
        <w:t> </w:t>
      </w:r>
      <w:r>
        <w:rPr/>
        <w:t>encounter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systems.</w:t>
      </w:r>
    </w:p>
    <w:p>
      <w:pPr>
        <w:pStyle w:val="BodyText"/>
      </w:pPr>
    </w:p>
    <w:p>
      <w:pPr>
        <w:pStyle w:val="BodyText"/>
        <w:ind w:left="100" w:right="214"/>
      </w:pPr>
      <w:r>
        <w:rPr/>
        <w:t>The Board are particularly interested in opportunities to work across both systems to reduce the number of</w:t>
      </w:r>
      <w:r>
        <w:rPr>
          <w:spacing w:val="-59"/>
        </w:rPr>
        <w:t> </w:t>
      </w:r>
      <w:r>
        <w:rPr/>
        <w:t>young people in contact with Youth Justice and Child Safety. Members agreed that a full day at the next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meeting will be dedicated to</w:t>
      </w:r>
      <w:r>
        <w:rPr>
          <w:spacing w:val="-5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exploring these</w:t>
      </w:r>
      <w:r>
        <w:rPr>
          <w:spacing w:val="-2"/>
        </w:rPr>
        <w:t> </w:t>
      </w:r>
      <w:r>
        <w:rPr/>
        <w:t>opportunities.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0" w:right="399"/>
      </w:pPr>
      <w:r>
        <w:rPr/>
        <w:t>Tim Wilson, Director, Family Support and Commissioning Oversight, DCYJMA provided an update to the</w:t>
      </w:r>
      <w:r>
        <w:rPr>
          <w:spacing w:val="-59"/>
        </w:rPr>
        <w:t> </w:t>
      </w:r>
      <w:r>
        <w:rPr/>
        <w:t>Board on the outcomes of the Family Well Being Service (FWS) evaluation and identified next steps to</w:t>
      </w:r>
      <w:r>
        <w:rPr>
          <w:spacing w:val="1"/>
        </w:rPr>
        <w:t> </w:t>
      </w:r>
      <w:r>
        <w:rPr/>
        <w:t>consider opportunities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0"/>
      </w:pPr>
      <w:r>
        <w:rPr/>
        <w:t>Key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included: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61" w:after="0"/>
        <w:ind w:left="820" w:right="0" w:hanging="361"/>
        <w:jc w:val="left"/>
        <w:rPr>
          <w:sz w:val="22"/>
        </w:rPr>
      </w:pP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2,200</w:t>
      </w:r>
      <w:r>
        <w:rPr>
          <w:spacing w:val="-3"/>
          <w:sz w:val="22"/>
        </w:rPr>
        <w:t> </w:t>
      </w:r>
      <w:r>
        <w:rPr>
          <w:sz w:val="22"/>
        </w:rPr>
        <w:t>families</w:t>
      </w:r>
      <w:r>
        <w:rPr>
          <w:spacing w:val="-1"/>
          <w:sz w:val="22"/>
        </w:rPr>
        <w:t> </w:t>
      </w:r>
      <w:r>
        <w:rPr>
          <w:sz w:val="22"/>
        </w:rPr>
        <w:t>attend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FWS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manage</w:t>
      </w:r>
      <w:r>
        <w:rPr>
          <w:spacing w:val="-1"/>
          <w:sz w:val="22"/>
        </w:rPr>
        <w:t> </w:t>
      </w:r>
      <w:r>
        <w:rPr>
          <w:sz w:val="22"/>
        </w:rPr>
        <w:t>complex</w:t>
      </w:r>
      <w:r>
        <w:rPr>
          <w:spacing w:val="-3"/>
          <w:sz w:val="22"/>
        </w:rPr>
        <w:t> </w:t>
      </w:r>
      <w:r>
        <w:rPr>
          <w:sz w:val="22"/>
        </w:rPr>
        <w:t>family</w:t>
      </w:r>
      <w:r>
        <w:rPr>
          <w:spacing w:val="1"/>
          <w:sz w:val="22"/>
        </w:rPr>
        <w:t> </w:t>
      </w:r>
      <w:r>
        <w:rPr>
          <w:sz w:val="22"/>
        </w:rPr>
        <w:t>issues in</w:t>
      </w:r>
      <w:r>
        <w:rPr>
          <w:spacing w:val="-3"/>
          <w:sz w:val="22"/>
        </w:rPr>
        <w:t> </w:t>
      </w:r>
      <w:r>
        <w:rPr>
          <w:sz w:val="22"/>
        </w:rPr>
        <w:t>Qld.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run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mob</w:t>
      </w:r>
      <w:r>
        <w:rPr>
          <w:spacing w:val="-1"/>
          <w:sz w:val="22"/>
        </w:rPr>
        <w:t> </w:t>
      </w:r>
      <w:r>
        <w:rPr>
          <w:sz w:val="22"/>
        </w:rPr>
        <w:t>across</w:t>
      </w:r>
      <w:r>
        <w:rPr>
          <w:spacing w:val="-2"/>
          <w:sz w:val="22"/>
        </w:rPr>
        <w:t> </w:t>
      </w:r>
      <w:r>
        <w:rPr>
          <w:sz w:val="22"/>
        </w:rPr>
        <w:t>33 sites 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majority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clients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female.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7" w:after="0"/>
        <w:ind w:left="820" w:right="0" w:hanging="361"/>
        <w:jc w:val="left"/>
        <w:rPr>
          <w:sz w:val="22"/>
        </w:rPr>
      </w:pPr>
      <w:r>
        <w:rPr>
          <w:sz w:val="22"/>
        </w:rPr>
        <w:t>Overall</w:t>
      </w:r>
      <w:r>
        <w:rPr>
          <w:spacing w:val="-1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all sites,</w:t>
      </w:r>
      <w:r>
        <w:rPr>
          <w:spacing w:val="1"/>
          <w:sz w:val="22"/>
        </w:rPr>
        <w:t> </w:t>
      </w:r>
      <w:r>
        <w:rPr>
          <w:sz w:val="22"/>
        </w:rPr>
        <w:t>55%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families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partial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2"/>
          <w:sz w:val="22"/>
        </w:rPr>
        <w:t> </w:t>
      </w:r>
      <w:r>
        <w:rPr>
          <w:sz w:val="22"/>
        </w:rPr>
        <w:t>met</w:t>
      </w:r>
      <w:r>
        <w:rPr>
          <w:spacing w:val="-2"/>
          <w:sz w:val="22"/>
        </w:rPr>
        <w:t> </w:t>
      </w:r>
      <w:r>
        <w:rPr>
          <w:sz w:val="22"/>
        </w:rPr>
        <w:t>after</w:t>
      </w:r>
      <w:r>
        <w:rPr>
          <w:spacing w:val="-5"/>
          <w:sz w:val="22"/>
        </w:rPr>
        <w:t> </w:t>
      </w:r>
      <w:r>
        <w:rPr>
          <w:sz w:val="22"/>
        </w:rPr>
        <w:t>working with</w:t>
      </w:r>
      <w:r>
        <w:rPr>
          <w:spacing w:val="-1"/>
          <w:sz w:val="22"/>
        </w:rPr>
        <w:t> </w:t>
      </w:r>
      <w:r>
        <w:rPr>
          <w:sz w:val="22"/>
        </w:rPr>
        <w:t>FWS.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100" w:right="177"/>
      </w:pPr>
      <w:r>
        <w:rPr/>
        <w:t>Members noted that 93 percent of families that have all their needs met through the FWS program have no</w:t>
      </w:r>
      <w:r>
        <w:rPr>
          <w:spacing w:val="-59"/>
        </w:rPr>
        <w:t> </w:t>
      </w:r>
      <w:r>
        <w:rPr/>
        <w:t>further contact with the child protection system within six months. Next steps include the department</w:t>
      </w:r>
      <w:r>
        <w:rPr>
          <w:spacing w:val="1"/>
        </w:rPr>
        <w:t> </w:t>
      </w:r>
      <w:r>
        <w:rPr/>
        <w:t>facilitating a discussion with key departmental and sector stakeholders, QATSCIPP and the Queensland</w:t>
      </w:r>
      <w:r>
        <w:rPr>
          <w:spacing w:val="1"/>
        </w:rPr>
        <w:t> </w:t>
      </w:r>
      <w:r>
        <w:rPr/>
        <w:t>Child and Families Commission (QFCC) about the findings and how these align with DCYJMA’s strategic</w:t>
      </w:r>
      <w:r>
        <w:rPr>
          <w:spacing w:val="1"/>
        </w:rPr>
        <w:t> </w:t>
      </w:r>
      <w:r>
        <w:rPr/>
        <w:t>priorities and</w:t>
      </w:r>
      <w:r>
        <w:rPr>
          <w:spacing w:val="-3"/>
        </w:rPr>
        <w:t> </w:t>
      </w:r>
      <w:r>
        <w:rPr/>
        <w:t>action</w:t>
      </w:r>
      <w:r>
        <w:rPr>
          <w:spacing w:val="-2"/>
        </w:rPr>
        <w:t> </w:t>
      </w:r>
      <w:r>
        <w:rPr/>
        <w:t>plans.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00"/>
      </w:pPr>
      <w:r>
        <w:rPr/>
        <w:t>The next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scheduled for</w:t>
      </w:r>
      <w:r>
        <w:rPr>
          <w:spacing w:val="2"/>
        </w:rPr>
        <w:t> </w:t>
      </w:r>
      <w:r>
        <w:rPr/>
        <w:t>7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June 2022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0" w:right="113"/>
      </w:pPr>
      <w:r>
        <w:rPr/>
        <w:t>More</w:t>
      </w:r>
      <w:r>
        <w:rPr>
          <w:spacing w:val="54"/>
        </w:rPr>
        <w:t> </w:t>
      </w:r>
      <w:r>
        <w:rPr/>
        <w:t>information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relation</w:t>
      </w:r>
      <w:r>
        <w:rPr>
          <w:spacing w:val="56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Board</w:t>
      </w:r>
      <w:r>
        <w:rPr>
          <w:spacing w:val="53"/>
        </w:rPr>
        <w:t> </w:t>
      </w:r>
      <w:r>
        <w:rPr/>
        <w:t>including</w:t>
      </w:r>
      <w:r>
        <w:rPr>
          <w:spacing w:val="55"/>
        </w:rPr>
        <w:t> </w:t>
      </w:r>
      <w:r>
        <w:rPr/>
        <w:t>previous</w:t>
      </w:r>
      <w:r>
        <w:rPr>
          <w:spacing w:val="56"/>
        </w:rPr>
        <w:t> </w:t>
      </w:r>
      <w:r>
        <w:rPr/>
        <w:t>communiques</w:t>
      </w:r>
      <w:r>
        <w:rPr>
          <w:spacing w:val="59"/>
        </w:rPr>
        <w:t> </w:t>
      </w:r>
      <w:r>
        <w:rPr/>
        <w:t>is</w:t>
      </w:r>
      <w:r>
        <w:rPr>
          <w:spacing w:val="56"/>
        </w:rPr>
        <w:t> </w:t>
      </w:r>
      <w:r>
        <w:rPr/>
        <w:t>accessible</w:t>
      </w:r>
      <w:r>
        <w:rPr>
          <w:spacing w:val="56"/>
        </w:rPr>
        <w:t> </w:t>
      </w:r>
      <w:r>
        <w:rPr/>
        <w:t>from:</w:t>
      </w:r>
      <w:r>
        <w:rPr>
          <w:spacing w:val="-59"/>
        </w:rPr>
        <w:t> </w:t>
      </w:r>
      <w:hyperlink r:id="rId6">
        <w:r>
          <w:rPr>
            <w:color w:val="0000FF"/>
            <w:u w:val="single" w:color="0000FF"/>
          </w:rPr>
          <w:t>https://www.csyw.qld.gov.au/campaign/supporting-families/background/queensland-first-children-families-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board</w:t>
        </w:r>
      </w:hyperlink>
      <w:r>
        <w:rPr>
          <w:color w:val="0000FF"/>
          <w:u w:val="single" w:color="0000FF"/>
        </w:rPr>
        <w:t>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93"/>
        <w:ind w:left="100"/>
      </w:pPr>
      <w:r>
        <w:rPr/>
        <w:t>For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please</w:t>
      </w:r>
      <w:r>
        <w:rPr>
          <w:spacing w:val="-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5"/>
        </w:rPr>
        <w:t> </w:t>
      </w:r>
      <w:r>
        <w:rPr/>
        <w:t>Secretariat</w:t>
      </w:r>
      <w:r>
        <w:rPr>
          <w:spacing w:val="2"/>
        </w:rPr>
        <w:t> </w:t>
      </w:r>
      <w:r>
        <w:rPr/>
        <w:t>via</w:t>
      </w:r>
      <w:r>
        <w:rPr>
          <w:spacing w:val="-3"/>
        </w:rPr>
        <w:t> </w:t>
      </w:r>
      <w:r>
        <w:rPr/>
        <w:t>email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qfcfbsec@csyw.qld.gov.au</w:t>
        </w:r>
      </w:hyperlink>
    </w:p>
    <w:sectPr>
      <w:pgSz w:w="11900" w:h="16850"/>
      <w:pgMar w:top="16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20" w:hanging="36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>
      <w:start w:val="0"/>
      <w:numFmt w:val="bullet"/>
      <w:lvlText w:val=""/>
      <w:lvlJc w:val="left"/>
      <w:pPr>
        <w:ind w:left="8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915" w:hanging="361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010" w:hanging="361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4106" w:hanging="361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5201" w:hanging="361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6297" w:hanging="361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7392" w:hanging="361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8488" w:hanging="361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96"/>
      <w:jc w:val="center"/>
    </w:pPr>
    <w:rPr>
      <w:rFonts w:ascii="Arial" w:hAnsi="Arial" w:eastAsia="Arial" w:cs="Arial"/>
      <w:b/>
      <w:bCs/>
      <w:sz w:val="24"/>
      <w:szCs w:val="24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520" w:hanging="361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csyw.qld.gov.au/campaign/supporting-families/background/queensland-first-children-families-board" TargetMode="External"/><Relationship Id="rId7" Type="http://schemas.openxmlformats.org/officeDocument/2006/relationships/hyperlink" Target="mailto:qfcfbsec@csyw.qld.gov.a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keywords>Families board; first children; Queensland;</cp:keywords>
  <dc:subject>Queensland First Children and Familes Board</dc:subject>
  <dc:title>Communique - Queensland First Children and Familes Board Meeting - 15 March 2022</dc:title>
  <dcterms:created xsi:type="dcterms:W3CDTF">2022-04-27T04:17:08Z</dcterms:created>
  <dcterms:modified xsi:type="dcterms:W3CDTF">2022-04-27T04:17:08Z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2022-04-27T00:00:00Z</vt:filetime>
  </property>
</Properties>
</file>