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D65E" w14:textId="77777777" w:rsidR="00B2528F" w:rsidRPr="00564163" w:rsidRDefault="00B2528F" w:rsidP="00B2528F">
      <w:pPr>
        <w:pStyle w:val="Subtitle"/>
      </w:pPr>
      <w:r w:rsidRPr="00564163">
        <w:t>Resource #</w:t>
      </w:r>
      <w:r>
        <w:t>7</w:t>
      </w:r>
    </w:p>
    <w:p w14:paraId="13D9ACA4" w14:textId="77777777" w:rsidR="00B2528F" w:rsidRPr="00730AAC" w:rsidRDefault="00B2528F" w:rsidP="00B2528F">
      <w:pPr>
        <w:pStyle w:val="Heading1"/>
      </w:pPr>
      <w:r>
        <w:t>Accessible places and spaces</w:t>
      </w:r>
    </w:p>
    <w:p w14:paraId="20C0D6E9" w14:textId="52185609" w:rsidR="00B2528F" w:rsidRPr="0007771E" w:rsidRDefault="008F78F0" w:rsidP="008F78F0">
      <w:pPr>
        <w:ind w:left="0"/>
        <w:rPr>
          <w:rStyle w:val="SubtleEmphasis"/>
        </w:rPr>
      </w:pPr>
      <w:r>
        <w:rPr>
          <w:rStyle w:val="SubtleEmphasis"/>
        </w:rPr>
        <w:t>This resource provides</w:t>
      </w:r>
      <w:r w:rsidR="00B2528F" w:rsidRPr="00C16774">
        <w:rPr>
          <w:rStyle w:val="SubtleEmphasis"/>
        </w:rPr>
        <w:t xml:space="preserve"> information on building codes and</w:t>
      </w:r>
      <w:r w:rsidR="00B2528F">
        <w:rPr>
          <w:rStyle w:val="SubtleEmphasis"/>
        </w:rPr>
        <w:t xml:space="preserve"> </w:t>
      </w:r>
      <w:r w:rsidR="00B2528F" w:rsidRPr="00C16774">
        <w:rPr>
          <w:rStyle w:val="SubtleEmphasis"/>
        </w:rPr>
        <w:t>standards for accessibility in construction,</w:t>
      </w:r>
      <w:r w:rsidR="00B2528F">
        <w:rPr>
          <w:rStyle w:val="SubtleEmphasis"/>
        </w:rPr>
        <w:t xml:space="preserve"> </w:t>
      </w:r>
      <w:r w:rsidR="00B2528F" w:rsidRPr="00C16774">
        <w:rPr>
          <w:rStyle w:val="SubtleEmphasis"/>
        </w:rPr>
        <w:t xml:space="preserve">refurbishing </w:t>
      </w:r>
      <w:r w:rsidR="00120A40" w:rsidRPr="00C16774">
        <w:rPr>
          <w:rStyle w:val="SubtleEmphasis"/>
        </w:rPr>
        <w:t>buildings,</w:t>
      </w:r>
      <w:r w:rsidR="00B2528F" w:rsidRPr="00C16774">
        <w:rPr>
          <w:rStyle w:val="SubtleEmphasis"/>
        </w:rPr>
        <w:t xml:space="preserve"> and venues</w:t>
      </w:r>
      <w:r w:rsidR="00120A40">
        <w:rPr>
          <w:rStyle w:val="SubtleEmphasis"/>
        </w:rPr>
        <w:t>;</w:t>
      </w:r>
      <w:r w:rsidR="00B2528F">
        <w:rPr>
          <w:rStyle w:val="SubtleEmphasis"/>
        </w:rPr>
        <w:t xml:space="preserve"> </w:t>
      </w:r>
      <w:r w:rsidR="00120A40">
        <w:rPr>
          <w:rStyle w:val="SubtleEmphasis"/>
        </w:rPr>
        <w:t xml:space="preserve">on </w:t>
      </w:r>
      <w:r w:rsidR="00B2528F" w:rsidRPr="00C16774">
        <w:rPr>
          <w:rStyle w:val="SubtleEmphasis"/>
        </w:rPr>
        <w:t>renewing leases</w:t>
      </w:r>
      <w:r w:rsidR="00120A40">
        <w:rPr>
          <w:rStyle w:val="SubtleEmphasis"/>
        </w:rPr>
        <w:t>;</w:t>
      </w:r>
      <w:r w:rsidR="00B2528F">
        <w:rPr>
          <w:rStyle w:val="SubtleEmphasis"/>
        </w:rPr>
        <w:t xml:space="preserve"> and </w:t>
      </w:r>
      <w:r w:rsidR="00120A40">
        <w:rPr>
          <w:rStyle w:val="SubtleEmphasis"/>
        </w:rPr>
        <w:t xml:space="preserve">on how </w:t>
      </w:r>
      <w:r w:rsidR="00B2528F" w:rsidRPr="00C16774">
        <w:rPr>
          <w:rStyle w:val="SubtleEmphasis"/>
        </w:rPr>
        <w:t xml:space="preserve">to </w:t>
      </w:r>
      <w:r w:rsidR="00B2528F" w:rsidRPr="00C16774">
        <w:rPr>
          <w:rStyle w:val="SubtleEmphasis"/>
        </w:rPr>
        <w:softHyphen/>
      </w:r>
      <w:r w:rsidR="00B2528F">
        <w:rPr>
          <w:rStyle w:val="SubtleEmphasis"/>
        </w:rPr>
        <w:t>fi</w:t>
      </w:r>
      <w:r w:rsidR="00B2528F" w:rsidRPr="00C16774">
        <w:rPr>
          <w:rStyle w:val="SubtleEmphasis"/>
        </w:rPr>
        <w:t>nd standards for accessible public</w:t>
      </w:r>
      <w:r w:rsidR="00B2528F">
        <w:rPr>
          <w:rStyle w:val="SubtleEmphasis"/>
        </w:rPr>
        <w:t xml:space="preserve"> </w:t>
      </w:r>
      <w:r w:rsidR="00B2528F" w:rsidRPr="00C16774">
        <w:rPr>
          <w:rStyle w:val="SubtleEmphasis"/>
        </w:rPr>
        <w:t>transport and accessible places and spaces</w:t>
      </w:r>
      <w:r w:rsidR="00B2528F" w:rsidRPr="0007771E">
        <w:rPr>
          <w:rStyle w:val="SubtleEmphasis"/>
        </w:rPr>
        <w:t xml:space="preserve">. </w:t>
      </w:r>
    </w:p>
    <w:p w14:paraId="21017F7D" w14:textId="39759A4E" w:rsidR="00B2528F" w:rsidRPr="0007771E" w:rsidRDefault="00B2528F" w:rsidP="008F78F0">
      <w:pPr>
        <w:ind w:left="0"/>
        <w:rPr>
          <w:rStyle w:val="SubtleEmphasis"/>
        </w:rPr>
      </w:pPr>
      <w:r w:rsidRPr="00C16774">
        <w:rPr>
          <w:rStyle w:val="SubtleEmphasis"/>
        </w:rPr>
        <w:t>Everybody has a right to access and use public</w:t>
      </w:r>
      <w:r>
        <w:rPr>
          <w:rStyle w:val="SubtleEmphasis"/>
        </w:rPr>
        <w:t xml:space="preserve"> </w:t>
      </w:r>
      <w:r w:rsidRPr="00C16774">
        <w:rPr>
          <w:rStyle w:val="SubtleEmphasis"/>
        </w:rPr>
        <w:t>places, such as shops, restaurants, o</w:t>
      </w:r>
      <w:r>
        <w:rPr>
          <w:rStyle w:val="SubtleEmphasis"/>
        </w:rPr>
        <w:t>ffi</w:t>
      </w:r>
      <w:r w:rsidRPr="00C16774">
        <w:rPr>
          <w:rStyle w:val="SubtleEmphasis"/>
        </w:rPr>
        <w:t>ce blocks,</w:t>
      </w:r>
      <w:r>
        <w:rPr>
          <w:rStyle w:val="SubtleEmphasis"/>
        </w:rPr>
        <w:t xml:space="preserve"> </w:t>
      </w:r>
      <w:r w:rsidRPr="00C16774">
        <w:rPr>
          <w:rStyle w:val="SubtleEmphasis"/>
        </w:rPr>
        <w:t>educational institutions, sporting venues, libraries</w:t>
      </w:r>
      <w:r w:rsidR="00120A40">
        <w:rPr>
          <w:rStyle w:val="SubtleEmphasis"/>
        </w:rPr>
        <w:t>,</w:t>
      </w:r>
      <w:r>
        <w:rPr>
          <w:rStyle w:val="SubtleEmphasis"/>
        </w:rPr>
        <w:t xml:space="preserve"> </w:t>
      </w:r>
      <w:r w:rsidRPr="00C16774">
        <w:rPr>
          <w:rStyle w:val="SubtleEmphasis"/>
        </w:rPr>
        <w:t>and cinemas.</w:t>
      </w:r>
    </w:p>
    <w:p w14:paraId="5184A5E4" w14:textId="77777777" w:rsidR="00B2528F" w:rsidRDefault="00B2528F" w:rsidP="00B2528F">
      <w:pPr>
        <w:pStyle w:val="Heading2"/>
      </w:pPr>
      <w:r w:rsidRPr="00067B48">
        <w:t>Accessible to all</w:t>
      </w:r>
    </w:p>
    <w:p w14:paraId="68DD009B" w14:textId="3D89E724" w:rsidR="00B2528F" w:rsidRDefault="00B2528F" w:rsidP="00B2528F">
      <w:pPr>
        <w:pStyle w:val="BodyText"/>
      </w:pPr>
      <w:r>
        <w:t>It is important that buildings and spaces are constructed and fitted out in a way that makes them accessible to all Queenslanders</w:t>
      </w:r>
      <w:r w:rsidR="00CE7D92">
        <w:t>.</w:t>
      </w:r>
      <w:r>
        <w:t xml:space="preserve"> Australian legislation requires buildings to be accessible for people with disability.</w:t>
      </w:r>
    </w:p>
    <w:p w14:paraId="016D1FEA" w14:textId="3CFE8344" w:rsidR="00B2528F" w:rsidRDefault="00B2528F" w:rsidP="00B2528F">
      <w:pPr>
        <w:pStyle w:val="BodyText"/>
      </w:pPr>
      <w:r>
        <w:t>It is the Queensland disability sector’s strongest demand that people with disability be engaged in the development and review of policies and practices — ‘nothing about us without us.</w:t>
      </w:r>
      <w:r w:rsidR="00CE7D92">
        <w:t>’</w:t>
      </w:r>
      <w:r>
        <w:t xml:space="preserve"> As such, people with disability should be engaged during the planning of builds, </w:t>
      </w:r>
      <w:r w:rsidR="00CE7D92">
        <w:t>renovations,</w:t>
      </w:r>
      <w:r>
        <w:t xml:space="preserve"> and refurbishments to increase the likelihood of a fit-for-purpose and accessible result.</w:t>
      </w:r>
    </w:p>
    <w:p w14:paraId="526E132C" w14:textId="411BBA39" w:rsidR="00B2528F" w:rsidRDefault="00B2528F" w:rsidP="00B2528F">
      <w:pPr>
        <w:pStyle w:val="BodyText"/>
      </w:pPr>
      <w:r>
        <w:t xml:space="preserve">A qualified access consultant can help to ensure plans meet accessibility requirements. For details on contacting an access consultant, visit the </w:t>
      </w:r>
      <w:r w:rsidRPr="001476CD">
        <w:rPr>
          <w:rFonts w:cstheme="minorHAnsi"/>
        </w:rPr>
        <w:t xml:space="preserve">Association of Consultants in Access Australia Inc. website at </w:t>
      </w:r>
      <w:hyperlink r:id="rId7" w:history="1">
        <w:r w:rsidRPr="00CE7D92">
          <w:rPr>
            <w:rStyle w:val="Hyperlink"/>
            <w:rFonts w:cstheme="minorHAnsi"/>
            <w:color w:val="0070C0"/>
          </w:rPr>
          <w:t>www.access.asn.au</w:t>
        </w:r>
      </w:hyperlink>
      <w:r w:rsidR="000154D0">
        <w:rPr>
          <w:rStyle w:val="Hyperlink"/>
          <w:rFonts w:cstheme="minorHAnsi"/>
          <w:color w:val="0070C0"/>
        </w:rPr>
        <w:br/>
      </w:r>
    </w:p>
    <w:p w14:paraId="63E25D8B" w14:textId="77777777" w:rsidR="00B2528F" w:rsidRDefault="00B2528F" w:rsidP="00B2528F">
      <w:pPr>
        <w:pStyle w:val="Heading3"/>
      </w:pPr>
      <w:r>
        <w:t>Building industry obligations</w:t>
      </w:r>
    </w:p>
    <w:p w14:paraId="7E2B8BA3" w14:textId="2C89A255" w:rsidR="00B2528F" w:rsidRDefault="00B2528F" w:rsidP="00B2528F">
      <w:pPr>
        <w:pStyle w:val="BodyText"/>
      </w:pPr>
      <w:r>
        <w:t>A building code and standard include</w:t>
      </w:r>
      <w:r w:rsidR="00CE7D92">
        <w:t>s</w:t>
      </w:r>
      <w:r>
        <w:t xml:space="preserve"> accessibility requirements for people with disability and must be adhered to in designing, </w:t>
      </w:r>
      <w:r w:rsidR="00CE7D92">
        <w:t>building,</w:t>
      </w:r>
      <w:r>
        <w:t xml:space="preserve"> or renovating properties or public areas. These </w:t>
      </w:r>
      <w:r w:rsidR="00CE7D92">
        <w:t>codes and standards include:</w:t>
      </w:r>
    </w:p>
    <w:p w14:paraId="14E8D919" w14:textId="268370E8" w:rsidR="00CE7D92" w:rsidRDefault="00CE7D92" w:rsidP="00CE7D92">
      <w:pPr>
        <w:pStyle w:val="ListParagraph"/>
        <w:numPr>
          <w:ilvl w:val="0"/>
          <w:numId w:val="25"/>
        </w:numPr>
        <w:contextualSpacing w:val="0"/>
      </w:pPr>
      <w:r w:rsidRPr="00CE7D92">
        <w:rPr>
          <w:b/>
          <w:bCs/>
        </w:rPr>
        <w:t xml:space="preserve">The National Construction Code (including the </w:t>
      </w:r>
      <w:r w:rsidRPr="00CE7D92">
        <w:rPr>
          <w:rStyle w:val="Emphasis"/>
          <w:b/>
          <w:bCs/>
        </w:rPr>
        <w:t>Building Code of Australia volumes 1 and 2</w:t>
      </w:r>
      <w:r w:rsidRPr="00CE7D92">
        <w:rPr>
          <w:b/>
          <w:bCs/>
        </w:rPr>
        <w:t xml:space="preserve">, and the </w:t>
      </w:r>
      <w:r w:rsidRPr="00CE7D92">
        <w:rPr>
          <w:rStyle w:val="Emphasis"/>
          <w:b/>
          <w:bCs/>
        </w:rPr>
        <w:t>Plumbing Code of Australia volume 3</w:t>
      </w:r>
      <w:r w:rsidRPr="00CE7D92">
        <w:rPr>
          <w:b/>
          <w:bCs/>
        </w:rPr>
        <w:t>)</w:t>
      </w:r>
      <w:r w:rsidRPr="001476CD">
        <w:t xml:space="preserve"> —the </w:t>
      </w:r>
      <w:r w:rsidRPr="00562014">
        <w:rPr>
          <w:rStyle w:val="Emphasis"/>
        </w:rPr>
        <w:t>National Construction Code</w:t>
      </w:r>
      <w:r w:rsidRPr="001476CD">
        <w:t xml:space="preserve"> sets the</w:t>
      </w:r>
      <w:r>
        <w:t xml:space="preserve"> design and structure standards for all buildings in Australia. Architects, town planners, engineers and councils use the </w:t>
      </w:r>
      <w:r w:rsidRPr="001476CD">
        <w:rPr>
          <w:rStyle w:val="Emphasis"/>
        </w:rPr>
        <w:t>Building Code of Australia</w:t>
      </w:r>
      <w:r>
        <w:t xml:space="preserve">, which is part of the </w:t>
      </w:r>
      <w:r w:rsidRPr="001476CD">
        <w:rPr>
          <w:rStyle w:val="Emphasis"/>
        </w:rPr>
        <w:t>National Construction Code</w:t>
      </w:r>
      <w:r>
        <w:t>, when designing buildings, streets, parks, and all other public areas.</w:t>
      </w:r>
    </w:p>
    <w:p w14:paraId="43DD46CF" w14:textId="77777777" w:rsidR="00CE7D92" w:rsidRDefault="00CE7D92" w:rsidP="00CE7D92">
      <w:pPr>
        <w:pStyle w:val="ListParagraph"/>
        <w:numPr>
          <w:ilvl w:val="1"/>
          <w:numId w:val="25"/>
        </w:numPr>
        <w:contextualSpacing w:val="0"/>
      </w:pPr>
      <w:r w:rsidRPr="001476CD">
        <w:t xml:space="preserve">From 1 May 2019, the </w:t>
      </w:r>
      <w:r w:rsidRPr="001476CD">
        <w:rPr>
          <w:rStyle w:val="Emphasis"/>
        </w:rPr>
        <w:t>National Construction Code</w:t>
      </w:r>
      <w:r w:rsidRPr="001476CD">
        <w:t xml:space="preserve"> </w:t>
      </w:r>
      <w:r>
        <w:t>requires some public buildings to have accessible adult change facilities for people who cannot use standard accessible toilets. These public buildings include large shopping centres, sports stadiums, aquatic centres, museums, art galleries and airports.</w:t>
      </w:r>
    </w:p>
    <w:p w14:paraId="1AF24BEB" w14:textId="1B8F2B6F" w:rsidR="00CE7D92" w:rsidRDefault="00CE7D92" w:rsidP="00CE7D92">
      <w:pPr>
        <w:pStyle w:val="ListParagraph"/>
        <w:numPr>
          <w:ilvl w:val="1"/>
          <w:numId w:val="25"/>
        </w:numPr>
        <w:contextualSpacing w:val="0"/>
      </w:pPr>
      <w:r>
        <w:lastRenderedPageBreak/>
        <w:t xml:space="preserve">Accessible adult change facilities provide people with disability with </w:t>
      </w:r>
      <w:proofErr w:type="gramStart"/>
      <w:r>
        <w:t>high-support</w:t>
      </w:r>
      <w:proofErr w:type="gramEnd"/>
      <w:r>
        <w:t xml:space="preserve"> needs, and their </w:t>
      </w:r>
      <w:proofErr w:type="spellStart"/>
      <w:r>
        <w:t>carers</w:t>
      </w:r>
      <w:proofErr w:type="spellEnd"/>
      <w:r>
        <w:t xml:space="preserve">, with safe and comfortable access to a toilet and change area. These facilities allow people with disability, including people with an acquired brain injury, cerebral palsy, multiple sclerosis, spina bifida, and motor neurone disease to enjoy the day-to-day activities many of us take for granted. For more information on accessible change facilities, visit: </w:t>
      </w:r>
      <w:hyperlink r:id="rId8" w:history="1">
        <w:r w:rsidRPr="00CE7D92">
          <w:rPr>
            <w:rStyle w:val="Hyperlink"/>
            <w:color w:val="0070C0"/>
          </w:rPr>
          <w:t>https://changingplaces.org.au/</w:t>
        </w:r>
      </w:hyperlink>
      <w:r w:rsidRPr="00CE7D92">
        <w:rPr>
          <w:color w:val="0070C0"/>
          <w:sz w:val="22"/>
          <w:u w:val="single"/>
        </w:rPr>
        <w:t xml:space="preserve"> </w:t>
      </w:r>
    </w:p>
    <w:p w14:paraId="371EBCCC" w14:textId="3F9060FB" w:rsidR="00B2528F" w:rsidRPr="00562014" w:rsidRDefault="00B2528F" w:rsidP="00CE7D92">
      <w:pPr>
        <w:pStyle w:val="ListParagraph"/>
        <w:numPr>
          <w:ilvl w:val="0"/>
          <w:numId w:val="24"/>
        </w:numPr>
      </w:pPr>
      <w:r w:rsidRPr="00CE7D92">
        <w:rPr>
          <w:rStyle w:val="Emphasis"/>
          <w:b/>
          <w:bCs/>
        </w:rPr>
        <w:t>Disability (Access to Premises – Building) Standards 2010</w:t>
      </w:r>
      <w:r w:rsidR="00CE7D92">
        <w:rPr>
          <w:rStyle w:val="Emphasis"/>
          <w:b/>
          <w:bCs/>
        </w:rPr>
        <w:t xml:space="preserve"> </w:t>
      </w:r>
      <w:r w:rsidRPr="00562014">
        <w:t xml:space="preserve">³ —these standards, also known as the Premises Standards, ensure dignified, equitable, </w:t>
      </w:r>
      <w:r w:rsidR="00CE7D92" w:rsidRPr="00562014">
        <w:t>cost-effective,</w:t>
      </w:r>
      <w:r w:rsidRPr="00562014">
        <w:t xml:space="preserve"> and reasonable access to buildings, and facilities and services within buildings, are provided to people with disability.</w:t>
      </w:r>
    </w:p>
    <w:p w14:paraId="313DBB79" w14:textId="77777777" w:rsidR="00B2528F" w:rsidRDefault="00B2528F" w:rsidP="00B2528F">
      <w:pPr>
        <w:pStyle w:val="BodyText"/>
      </w:pPr>
      <w:r>
        <w:t xml:space="preserve">When new buildings are constructed, they must comply with the </w:t>
      </w:r>
      <w:r w:rsidRPr="00562014">
        <w:rPr>
          <w:rStyle w:val="Emphasis"/>
        </w:rPr>
        <w:t>National Construction Code</w:t>
      </w:r>
      <w:r w:rsidRPr="00562014">
        <w:t xml:space="preserve"> </w:t>
      </w:r>
      <w:r>
        <w:t xml:space="preserve">and the </w:t>
      </w:r>
      <w:r w:rsidRPr="00562014">
        <w:rPr>
          <w:rStyle w:val="Emphasis"/>
        </w:rPr>
        <w:t>Premises Standards</w:t>
      </w:r>
      <w:r>
        <w:t xml:space="preserve">. Older buildings must comply with these standards when the owner, person or business using the building carries out major renovations or changes. </w:t>
      </w:r>
    </w:p>
    <w:p w14:paraId="284DD0DF" w14:textId="77777777" w:rsidR="00B2528F" w:rsidRDefault="00B2528F" w:rsidP="00B2528F">
      <w:pPr>
        <w:pStyle w:val="BodyText"/>
      </w:pPr>
      <w:r>
        <w:t xml:space="preserve">The Australian Building Codes Board administers both the National Construction Code and Premises Standards. </w:t>
      </w:r>
    </w:p>
    <w:p w14:paraId="4C52D287" w14:textId="7B031A7A" w:rsidR="00B2528F" w:rsidRDefault="00B2528F" w:rsidP="00B2528F">
      <w:pPr>
        <w:pStyle w:val="BodyText"/>
      </w:pPr>
      <w:r>
        <w:t xml:space="preserve">Information about other building-related topics is available on the </w:t>
      </w:r>
      <w:hyperlink r:id="rId9" w:history="1">
        <w:r w:rsidRPr="00A24BEE">
          <w:rPr>
            <w:rStyle w:val="Hyperlink"/>
            <w:b w:val="0"/>
            <w:bCs/>
            <w:u w:val="none"/>
          </w:rPr>
          <w:t>Queensland Government’s homes and housing website</w:t>
        </w:r>
      </w:hyperlink>
      <w:r>
        <w:t xml:space="preserve">. The website includes a link to the </w:t>
      </w:r>
      <w:r w:rsidRPr="00562014">
        <w:rPr>
          <w:rStyle w:val="Emphasis"/>
        </w:rPr>
        <w:t>Disability (Access to Premises – Building) Standards 2010</w:t>
      </w:r>
      <w:r>
        <w:t>.</w:t>
      </w:r>
      <w:r w:rsidR="000154D0">
        <w:br/>
      </w:r>
    </w:p>
    <w:p w14:paraId="206364E1" w14:textId="77777777" w:rsidR="00B2528F" w:rsidRDefault="00B2528F" w:rsidP="00B2528F">
      <w:pPr>
        <w:pStyle w:val="Heading3"/>
      </w:pPr>
      <w:r>
        <w:t>Other relevant standards</w:t>
      </w:r>
    </w:p>
    <w:p w14:paraId="2021CB6E" w14:textId="07AF6D82" w:rsidR="00B2528F" w:rsidRPr="00562014" w:rsidRDefault="00B2528F" w:rsidP="00B2528F">
      <w:pPr>
        <w:pStyle w:val="BodyText"/>
      </w:pPr>
      <w:r w:rsidRPr="00562014">
        <w:t>The Australian Human Rights Commission publishes</w:t>
      </w:r>
      <w:r>
        <w:t xml:space="preserve"> </w:t>
      </w:r>
      <w:r w:rsidRPr="00562014">
        <w:t xml:space="preserve">standards, guidelines, advisory </w:t>
      </w:r>
      <w:r w:rsidR="000154D0" w:rsidRPr="00562014">
        <w:t>notes,</w:t>
      </w:r>
      <w:r w:rsidRPr="00562014">
        <w:t xml:space="preserve"> and frequently</w:t>
      </w:r>
      <w:r>
        <w:t xml:space="preserve"> </w:t>
      </w:r>
      <w:r w:rsidRPr="00562014">
        <w:t>asked questions on accessibility to help developers</w:t>
      </w:r>
      <w:r>
        <w:t xml:space="preserve"> </w:t>
      </w:r>
      <w:r w:rsidRPr="00562014">
        <w:t>construct new buildings and facilities that meet</w:t>
      </w:r>
      <w:r>
        <w:t xml:space="preserve"> </w:t>
      </w:r>
      <w:r w:rsidRPr="00562014">
        <w:t xml:space="preserve">requirements under the </w:t>
      </w:r>
      <w:r w:rsidRPr="002728C7">
        <w:rPr>
          <w:i/>
          <w:iCs/>
        </w:rPr>
        <w:t>Disability Discrimination Act 1992</w:t>
      </w:r>
      <w:r w:rsidRPr="00562014">
        <w:t>.</w:t>
      </w:r>
    </w:p>
    <w:p w14:paraId="4B85FD92" w14:textId="77777777" w:rsidR="00B2528F" w:rsidRPr="00562014" w:rsidRDefault="00B2528F" w:rsidP="00B2528F">
      <w:pPr>
        <w:pStyle w:val="BodyText"/>
      </w:pPr>
      <w:r w:rsidRPr="00562014">
        <w:t>This information can be found on the Australian</w:t>
      </w:r>
      <w:r>
        <w:t xml:space="preserve"> </w:t>
      </w:r>
      <w:r w:rsidRPr="00562014">
        <w:t>Human Rights Commission website at:</w:t>
      </w:r>
      <w:r>
        <w:t xml:space="preserve"> </w:t>
      </w:r>
      <w:hyperlink r:id="rId10" w:history="1">
        <w:r w:rsidRPr="000154D0">
          <w:rPr>
            <w:rStyle w:val="Hyperlink"/>
            <w:color w:val="0070C0"/>
          </w:rPr>
          <w:t>www.humanrights.gov.au/our-work/disability-rights</w:t>
        </w:r>
      </w:hyperlink>
      <w:r w:rsidRPr="000154D0">
        <w:rPr>
          <w:color w:val="0070C0"/>
        </w:rPr>
        <w:t xml:space="preserve"> </w:t>
      </w:r>
    </w:p>
    <w:p w14:paraId="6E5DB63C" w14:textId="6D9D95AD" w:rsidR="00B2528F" w:rsidRDefault="00B2528F" w:rsidP="00B2528F">
      <w:pPr>
        <w:pStyle w:val="BodyText"/>
      </w:pPr>
      <w:r w:rsidRPr="00562014">
        <w:t>Public transport must also be accessible for people</w:t>
      </w:r>
      <w:r>
        <w:t xml:space="preserve"> with</w:t>
      </w:r>
      <w:r w:rsidRPr="00562014">
        <w:t xml:space="preserve"> disability and comply with the standards in</w:t>
      </w:r>
      <w:r>
        <w:t xml:space="preserve"> </w:t>
      </w:r>
      <w:r w:rsidRPr="00562014">
        <w:t xml:space="preserve">the </w:t>
      </w:r>
      <w:r w:rsidRPr="00265676">
        <w:rPr>
          <w:rStyle w:val="Emphasis"/>
        </w:rPr>
        <w:t>Disability Standards for Accessible Public Transport</w:t>
      </w:r>
      <w:r w:rsidRPr="00562014">
        <w:t xml:space="preserve"> </w:t>
      </w:r>
      <w:r w:rsidRPr="00265676">
        <w:rPr>
          <w:rStyle w:val="Emphasis"/>
        </w:rPr>
        <w:t>2002</w:t>
      </w:r>
      <w:r w:rsidRPr="00562014">
        <w:t>.</w:t>
      </w:r>
      <w:r w:rsidR="000154D0">
        <w:br/>
      </w:r>
    </w:p>
    <w:p w14:paraId="1C2500BA" w14:textId="77777777" w:rsidR="00B2528F" w:rsidRDefault="00B2528F" w:rsidP="00B2528F">
      <w:pPr>
        <w:pStyle w:val="Heading3"/>
      </w:pPr>
      <w:r>
        <w:t>Universal design</w:t>
      </w:r>
    </w:p>
    <w:p w14:paraId="5299ACD2" w14:textId="77777777" w:rsidR="00B2528F" w:rsidRDefault="00B2528F" w:rsidP="00B2528F">
      <w:pPr>
        <w:pStyle w:val="BodyText"/>
      </w:pPr>
      <w:r>
        <w:t xml:space="preserve">Universal design, also known as </w:t>
      </w:r>
      <w:proofErr w:type="spellStart"/>
      <w:r>
        <w:t>UDesign</w:t>
      </w:r>
      <w:proofErr w:type="spellEnd"/>
      <w:r>
        <w:t>, is an approach to construction and housing design that caters to the needs of everyone in the community, including people with disability.</w:t>
      </w:r>
    </w:p>
    <w:p w14:paraId="6C87D88A" w14:textId="77777777" w:rsidR="00B2528F" w:rsidRDefault="00B2528F" w:rsidP="00B2528F">
      <w:pPr>
        <w:rPr>
          <w:spacing w:val="-2"/>
        </w:rPr>
      </w:pPr>
      <w:r>
        <w:br w:type="page"/>
      </w:r>
    </w:p>
    <w:p w14:paraId="328B27AF" w14:textId="77777777" w:rsidR="00B2528F" w:rsidRDefault="00B2528F" w:rsidP="00B2528F">
      <w:pPr>
        <w:pStyle w:val="BodyText"/>
      </w:pPr>
      <w:r>
        <w:lastRenderedPageBreak/>
        <w:t>More information about universal design and best practice in building accessible places is available in the:</w:t>
      </w:r>
    </w:p>
    <w:p w14:paraId="1F7E40AA" w14:textId="77777777" w:rsidR="00B2528F" w:rsidRPr="00265676" w:rsidRDefault="00B2528F" w:rsidP="000154D0">
      <w:pPr>
        <w:pStyle w:val="ListParagraph"/>
        <w:numPr>
          <w:ilvl w:val="0"/>
          <w:numId w:val="26"/>
        </w:numPr>
      </w:pPr>
      <w:r w:rsidRPr="00265676">
        <w:rPr>
          <w:rStyle w:val="Emphasis"/>
        </w:rPr>
        <w:t>Queensland Government’s Smart and Sustainable Homes Design Objectives</w:t>
      </w:r>
      <w:r>
        <w:t xml:space="preserve"> </w:t>
      </w:r>
      <w:r w:rsidRPr="00265676">
        <w:t xml:space="preserve">— outlining good practice in designing, planning, building, maintaining and renovating homes for sustainability and </w:t>
      </w:r>
      <w:proofErr w:type="gramStart"/>
      <w:r w:rsidRPr="00265676">
        <w:t>accessibility</w:t>
      </w:r>
      <w:proofErr w:type="gramEnd"/>
    </w:p>
    <w:p w14:paraId="4983764D" w14:textId="29C0C143" w:rsidR="00B2528F" w:rsidRPr="00265676" w:rsidRDefault="00B2528F" w:rsidP="000154D0">
      <w:pPr>
        <w:pStyle w:val="ListParagraph"/>
        <w:numPr>
          <w:ilvl w:val="0"/>
          <w:numId w:val="26"/>
        </w:numPr>
      </w:pPr>
      <w:r w:rsidRPr="00265676">
        <w:rPr>
          <w:rStyle w:val="Emphasis"/>
        </w:rPr>
        <w:t>Australian Government’s Liveable Housing Design Guidelines</w:t>
      </w:r>
      <w:r>
        <w:t xml:space="preserve"> </w:t>
      </w:r>
      <w:r w:rsidRPr="00265676">
        <w:t xml:space="preserve">— providing voluntary targets for liveable housing design for all new homes, including terraces, </w:t>
      </w:r>
      <w:r w:rsidR="000154D0" w:rsidRPr="00265676">
        <w:t>townhouses,</w:t>
      </w:r>
      <w:r w:rsidRPr="00265676">
        <w:t xml:space="preserve"> and </w:t>
      </w:r>
      <w:proofErr w:type="gramStart"/>
      <w:r w:rsidRPr="00265676">
        <w:t>apartments</w:t>
      </w:r>
      <w:proofErr w:type="gramEnd"/>
    </w:p>
    <w:p w14:paraId="535E38D2" w14:textId="62C302AE" w:rsidR="00B2528F" w:rsidRDefault="00B2528F" w:rsidP="000154D0">
      <w:pPr>
        <w:pStyle w:val="ListParagraph"/>
        <w:numPr>
          <w:ilvl w:val="0"/>
          <w:numId w:val="26"/>
        </w:numPr>
      </w:pPr>
      <w:r w:rsidRPr="00265676">
        <w:rPr>
          <w:rStyle w:val="Emphasis"/>
        </w:rPr>
        <w:t>Australian Network for Universal Housing Design</w:t>
      </w:r>
      <w:r>
        <w:t xml:space="preserve"> </w:t>
      </w:r>
      <w:r w:rsidRPr="00265676">
        <w:t>— a national network supporting universal design for housing.</w:t>
      </w:r>
      <w:r w:rsidR="000154D0">
        <w:br/>
      </w:r>
    </w:p>
    <w:p w14:paraId="60B6A9C0" w14:textId="77777777" w:rsidR="00B2528F" w:rsidRDefault="00B2528F" w:rsidP="00B2528F">
      <w:pPr>
        <w:pStyle w:val="Heading3"/>
      </w:pPr>
      <w:r>
        <w:t>State planning policy</w:t>
      </w:r>
    </w:p>
    <w:p w14:paraId="5A9B264E" w14:textId="3CD6C8E2" w:rsidR="00B2528F" w:rsidRDefault="00B2528F" w:rsidP="00B2528F">
      <w:pPr>
        <w:pStyle w:val="BodyText"/>
      </w:pPr>
      <w:r>
        <w:t xml:space="preserve">The Queensland Government State Planning Policy includes guidelines for liveable communities that are well designed and provide attractive, adaptable, </w:t>
      </w:r>
      <w:r w:rsidR="000154D0">
        <w:t>accessible,</w:t>
      </w:r>
      <w:r>
        <w:t xml:space="preserve"> and inclusive built environments.</w:t>
      </w:r>
      <w:r w:rsidR="000154D0">
        <w:br/>
      </w:r>
    </w:p>
    <w:p w14:paraId="0D196C56" w14:textId="77777777" w:rsidR="00B2528F" w:rsidRDefault="00B2528F" w:rsidP="00B2528F">
      <w:pPr>
        <w:pStyle w:val="Heading3"/>
      </w:pPr>
      <w:r>
        <w:t>Getting out and about</w:t>
      </w:r>
    </w:p>
    <w:p w14:paraId="235DC53C" w14:textId="77777777" w:rsidR="00B2528F" w:rsidRDefault="00B2528F" w:rsidP="00B2528F">
      <w:pPr>
        <w:pStyle w:val="BodyText"/>
      </w:pPr>
      <w:r>
        <w:t>The Queensland Government has a variety of information to assist people with disability to get out and about in their community.</w:t>
      </w:r>
    </w:p>
    <w:p w14:paraId="5F6445CB" w14:textId="77777777" w:rsidR="00B2528F" w:rsidRDefault="00B2528F" w:rsidP="00B2528F">
      <w:pPr>
        <w:pStyle w:val="BodyText"/>
        <w:spacing w:after="0"/>
      </w:pPr>
      <w:r>
        <w:t>To find out more about accessible places and spaces in the community, visit:</w:t>
      </w:r>
    </w:p>
    <w:p w14:paraId="24D66306" w14:textId="77777777" w:rsidR="00B2528F" w:rsidRPr="000154D0" w:rsidRDefault="00A15C9C" w:rsidP="000154D0">
      <w:pPr>
        <w:pStyle w:val="ListParagraph"/>
        <w:numPr>
          <w:ilvl w:val="0"/>
          <w:numId w:val="27"/>
        </w:numPr>
        <w:rPr>
          <w:color w:val="0070C0"/>
        </w:rPr>
      </w:pPr>
      <w:hyperlink r:id="rId11" w:history="1">
        <w:r w:rsidR="00B2528F" w:rsidRPr="000154D0">
          <w:rPr>
            <w:rStyle w:val="Hyperlink"/>
            <w:color w:val="0070C0"/>
          </w:rPr>
          <w:t>www.qld.gov.au/disability/out-and-about</w:t>
        </w:r>
      </w:hyperlink>
    </w:p>
    <w:p w14:paraId="4FA1B4B2" w14:textId="77777777" w:rsidR="00B2528F" w:rsidRPr="00265676" w:rsidRDefault="00A15C9C" w:rsidP="000154D0">
      <w:pPr>
        <w:pStyle w:val="ListParagraph"/>
        <w:numPr>
          <w:ilvl w:val="0"/>
          <w:numId w:val="27"/>
        </w:numPr>
      </w:pPr>
      <w:hyperlink r:id="rId12" w:history="1">
        <w:r w:rsidR="00B2528F" w:rsidRPr="000154D0">
          <w:rPr>
            <w:rStyle w:val="Hyperlink"/>
            <w:color w:val="0070C0"/>
          </w:rPr>
          <w:t>www.tmr.qld.gov.au/Travel-and-transport/Disability-access-and-mobility</w:t>
        </w:r>
      </w:hyperlink>
    </w:p>
    <w:p w14:paraId="099DF080" w14:textId="4D58E587" w:rsidR="00B2528F" w:rsidRPr="000154D0" w:rsidRDefault="000154D0" w:rsidP="000154D0">
      <w:pPr>
        <w:pStyle w:val="Heading3"/>
      </w:pPr>
      <w:r>
        <w:br/>
      </w:r>
      <w:r w:rsidR="00B2528F" w:rsidRPr="000154D0">
        <w:t>Useful links</w:t>
      </w:r>
    </w:p>
    <w:p w14:paraId="0B201E31" w14:textId="77777777" w:rsidR="00B2528F" w:rsidRPr="00167FAE" w:rsidRDefault="00B2528F" w:rsidP="00B2528F">
      <w:pPr>
        <w:spacing w:before="120" w:after="120"/>
        <w:ind w:left="681" w:right="686"/>
        <w:rPr>
          <w:rFonts w:ascii="Calibri" w:eastAsia="Calibri" w:hAnsi="Calibri" w:cs="Calibri"/>
          <w:sz w:val="2"/>
          <w:szCs w:val="2"/>
        </w:rPr>
      </w:pPr>
    </w:p>
    <w:p w14:paraId="6A330069" w14:textId="77777777" w:rsidR="00B2528F" w:rsidRPr="00131314" w:rsidRDefault="00B2528F" w:rsidP="00B2528F">
      <w:pPr>
        <w:pStyle w:val="BodyText"/>
        <w:numPr>
          <w:ilvl w:val="0"/>
          <w:numId w:val="21"/>
        </w:numPr>
        <w:rPr>
          <w:spacing w:val="-4"/>
        </w:rPr>
      </w:pPr>
      <w:r w:rsidRPr="00131314">
        <w:rPr>
          <w:spacing w:val="-4"/>
        </w:rPr>
        <w:t>The Australian Building Codes Board:</w:t>
      </w:r>
      <w:r>
        <w:rPr>
          <w:spacing w:val="-4"/>
        </w:rPr>
        <w:t xml:space="preserve"> </w:t>
      </w:r>
      <w:hyperlink r:id="rId13" w:history="1">
        <w:r w:rsidRPr="000154D0">
          <w:rPr>
            <w:rStyle w:val="Hyperlink"/>
            <w:color w:val="0070C0"/>
            <w:spacing w:val="-4"/>
          </w:rPr>
          <w:t>www.abcb.gov.au</w:t>
        </w:r>
      </w:hyperlink>
    </w:p>
    <w:p w14:paraId="41A3A857" w14:textId="77777777" w:rsidR="00B2528F" w:rsidRPr="00131314" w:rsidRDefault="00B2528F" w:rsidP="00B2528F">
      <w:pPr>
        <w:pStyle w:val="BodyText"/>
        <w:numPr>
          <w:ilvl w:val="0"/>
          <w:numId w:val="21"/>
        </w:numPr>
        <w:rPr>
          <w:spacing w:val="-4"/>
        </w:rPr>
      </w:pPr>
      <w:r w:rsidRPr="00131314">
        <w:rPr>
          <w:spacing w:val="-4"/>
        </w:rPr>
        <w:t xml:space="preserve">The National Construction Code: </w:t>
      </w:r>
      <w:hyperlink r:id="rId14" w:history="1">
        <w:r w:rsidRPr="000154D0">
          <w:rPr>
            <w:rStyle w:val="Hyperlink"/>
            <w:color w:val="0070C0"/>
            <w:spacing w:val="-4"/>
          </w:rPr>
          <w:t>https://ncc.abcb.gov.au/ncc-online/ncc</w:t>
        </w:r>
      </w:hyperlink>
      <w:r w:rsidRPr="000154D0">
        <w:rPr>
          <w:color w:val="0070C0"/>
          <w:spacing w:val="-4"/>
        </w:rPr>
        <w:t xml:space="preserve"> </w:t>
      </w:r>
    </w:p>
    <w:p w14:paraId="3E7DF689" w14:textId="77777777" w:rsidR="00B2528F" w:rsidRPr="00131314" w:rsidRDefault="00B2528F" w:rsidP="00B2528F">
      <w:pPr>
        <w:pStyle w:val="BodyText"/>
        <w:numPr>
          <w:ilvl w:val="0"/>
          <w:numId w:val="21"/>
        </w:numPr>
        <w:rPr>
          <w:spacing w:val="-4"/>
        </w:rPr>
      </w:pPr>
      <w:r w:rsidRPr="00131314">
        <w:rPr>
          <w:spacing w:val="-4"/>
        </w:rPr>
        <w:t xml:space="preserve">Disability (Access to Premises – Buildings Standards 2010: </w:t>
      </w:r>
      <w:hyperlink r:id="rId15" w:history="1">
        <w:r w:rsidRPr="000154D0">
          <w:rPr>
            <w:rStyle w:val="Hyperlink"/>
            <w:color w:val="0070C0"/>
            <w:spacing w:val="-4"/>
          </w:rPr>
          <w:t>www.legislation.gov.au/Details/F2010L00668</w:t>
        </w:r>
      </w:hyperlink>
    </w:p>
    <w:p w14:paraId="0167B2F3" w14:textId="77777777" w:rsidR="00B2528F" w:rsidRPr="000154D0" w:rsidRDefault="00B2528F" w:rsidP="00B2528F">
      <w:pPr>
        <w:pStyle w:val="BodyText"/>
        <w:numPr>
          <w:ilvl w:val="0"/>
          <w:numId w:val="21"/>
        </w:numPr>
        <w:rPr>
          <w:color w:val="0070C0"/>
          <w:spacing w:val="-4"/>
        </w:rPr>
      </w:pPr>
      <w:r w:rsidRPr="00131314">
        <w:rPr>
          <w:spacing w:val="-4"/>
        </w:rPr>
        <w:t xml:space="preserve">Australian Human Rights Commission. Disability Standards. Standards &amp; Guidelines: </w:t>
      </w:r>
      <w:r w:rsidRPr="000154D0">
        <w:rPr>
          <w:rStyle w:val="Hyperlink"/>
          <w:color w:val="0070C0"/>
          <w:spacing w:val="-4"/>
        </w:rPr>
        <w:t>https://humanrights.gov.au/our-work/disability-rights/disability-standards</w:t>
      </w:r>
    </w:p>
    <w:p w14:paraId="0248CB34" w14:textId="77777777" w:rsidR="00B2528F" w:rsidRPr="00131314" w:rsidRDefault="00B2528F" w:rsidP="00B2528F">
      <w:pPr>
        <w:pStyle w:val="BodyText"/>
        <w:numPr>
          <w:ilvl w:val="0"/>
          <w:numId w:val="21"/>
        </w:numPr>
        <w:rPr>
          <w:spacing w:val="-4"/>
        </w:rPr>
      </w:pPr>
      <w:r w:rsidRPr="00131314">
        <w:rPr>
          <w:spacing w:val="-4"/>
        </w:rPr>
        <w:t xml:space="preserve">Disability Discrimination Act 1992. No. 135, 1992: </w:t>
      </w:r>
      <w:hyperlink r:id="rId16" w:history="1">
        <w:r w:rsidRPr="000154D0">
          <w:rPr>
            <w:rStyle w:val="Hyperlink"/>
            <w:color w:val="0070C0"/>
            <w:spacing w:val="-4"/>
          </w:rPr>
          <w:t>www.legislation.gov.au/Details/C2018C00125</w:t>
        </w:r>
      </w:hyperlink>
    </w:p>
    <w:p w14:paraId="3DA842D6" w14:textId="77777777" w:rsidR="00B2528F" w:rsidRPr="00131314" w:rsidRDefault="00B2528F" w:rsidP="00B2528F">
      <w:pPr>
        <w:pStyle w:val="BodyText"/>
        <w:numPr>
          <w:ilvl w:val="0"/>
          <w:numId w:val="21"/>
        </w:numPr>
        <w:rPr>
          <w:spacing w:val="-4"/>
        </w:rPr>
      </w:pPr>
      <w:r w:rsidRPr="00131314">
        <w:rPr>
          <w:spacing w:val="-4"/>
        </w:rPr>
        <w:lastRenderedPageBreak/>
        <w:t xml:space="preserve">Department of Housing and Public Works, Smart and Sustainable Homes Design Objectives: </w:t>
      </w:r>
      <w:hyperlink r:id="rId17" w:history="1">
        <w:r w:rsidRPr="000154D0">
          <w:rPr>
            <w:rStyle w:val="Hyperlink"/>
            <w:color w:val="0070C0"/>
            <w:spacing w:val="-4"/>
          </w:rPr>
          <w:t>www.hpw.qld.gov.au/construction/Sustainability/SmartSustainableHomes/SustainableHomeResources/Pages/Default.aspx</w:t>
        </w:r>
      </w:hyperlink>
    </w:p>
    <w:p w14:paraId="7B18F2E0" w14:textId="77777777" w:rsidR="00B2528F" w:rsidRPr="00131314" w:rsidRDefault="00B2528F" w:rsidP="00B2528F">
      <w:pPr>
        <w:pStyle w:val="BodyText"/>
        <w:numPr>
          <w:ilvl w:val="0"/>
          <w:numId w:val="21"/>
        </w:numPr>
        <w:rPr>
          <w:spacing w:val="-4"/>
        </w:rPr>
      </w:pPr>
      <w:r w:rsidRPr="00131314">
        <w:rPr>
          <w:spacing w:val="-4"/>
        </w:rPr>
        <w:t>Department of Social Services. Liveable Housing Desig</w:t>
      </w:r>
      <w:r w:rsidRPr="00006BCD">
        <w:rPr>
          <w:rFonts w:cstheme="minorHAnsi"/>
          <w:spacing w:val="-4"/>
        </w:rPr>
        <w:t xml:space="preserve">n: </w:t>
      </w:r>
      <w:hyperlink r:id="rId18" w:history="1">
        <w:hyperlink r:id="rId19" w:history="1">
          <w:r w:rsidRPr="000154D0">
            <w:rPr>
              <w:rStyle w:val="Hyperlink"/>
              <w:rFonts w:cstheme="minorHAnsi"/>
              <w:color w:val="0070C0"/>
            </w:rPr>
            <w:t>https://www.dss.gov.au/disability-and-carers-programs-services-government-international/livable-housing-design</w:t>
          </w:r>
        </w:hyperlink>
      </w:hyperlink>
    </w:p>
    <w:p w14:paraId="072A78E2" w14:textId="77777777" w:rsidR="00B2528F" w:rsidRPr="00131314" w:rsidRDefault="00B2528F" w:rsidP="00B2528F">
      <w:pPr>
        <w:pStyle w:val="BodyText"/>
        <w:numPr>
          <w:ilvl w:val="0"/>
          <w:numId w:val="21"/>
        </w:numPr>
        <w:rPr>
          <w:spacing w:val="-4"/>
        </w:rPr>
      </w:pPr>
      <w:r w:rsidRPr="00131314">
        <w:rPr>
          <w:spacing w:val="-4"/>
        </w:rPr>
        <w:t xml:space="preserve">Australian Network for Universal Housing Design: </w:t>
      </w:r>
      <w:hyperlink r:id="rId20" w:history="1">
        <w:r w:rsidRPr="000154D0">
          <w:rPr>
            <w:rStyle w:val="Hyperlink"/>
            <w:color w:val="0070C0"/>
            <w:spacing w:val="-4"/>
          </w:rPr>
          <w:t>https://anuhd.org/</w:t>
        </w:r>
      </w:hyperlink>
    </w:p>
    <w:p w14:paraId="036C332C" w14:textId="77777777" w:rsidR="00B2528F" w:rsidRPr="000154D0" w:rsidRDefault="00B2528F" w:rsidP="00B2528F">
      <w:pPr>
        <w:pStyle w:val="BodyText"/>
        <w:numPr>
          <w:ilvl w:val="0"/>
          <w:numId w:val="21"/>
        </w:numPr>
        <w:rPr>
          <w:color w:val="0070C0"/>
          <w:spacing w:val="-4"/>
        </w:rPr>
      </w:pPr>
      <w:r w:rsidRPr="00131314">
        <w:rPr>
          <w:spacing w:val="-4"/>
        </w:rPr>
        <w:t xml:space="preserve">Queensland Government. Building a home: </w:t>
      </w:r>
      <w:hyperlink r:id="rId21" w:history="1">
        <w:r w:rsidRPr="000154D0">
          <w:rPr>
            <w:rStyle w:val="Hyperlink"/>
            <w:color w:val="0070C0"/>
            <w:spacing w:val="-4"/>
          </w:rPr>
          <w:t>www.qld.gov.au/housing/building-home</w:t>
        </w:r>
      </w:hyperlink>
      <w:r w:rsidRPr="000154D0">
        <w:rPr>
          <w:color w:val="0070C0"/>
          <w:spacing w:val="-4"/>
        </w:rPr>
        <w:t xml:space="preserve"> </w:t>
      </w:r>
    </w:p>
    <w:p w14:paraId="68F3D3E2" w14:textId="5A4873A7" w:rsidR="00B2528F" w:rsidRPr="000154D0" w:rsidRDefault="00B2528F" w:rsidP="00B2528F">
      <w:pPr>
        <w:pStyle w:val="BodyText"/>
        <w:numPr>
          <w:ilvl w:val="0"/>
          <w:numId w:val="21"/>
        </w:numPr>
        <w:rPr>
          <w:color w:val="0070C0"/>
          <w:spacing w:val="-4"/>
        </w:rPr>
      </w:pPr>
      <w:r w:rsidRPr="00131314">
        <w:rPr>
          <w:spacing w:val="-4"/>
        </w:rPr>
        <w:t xml:space="preserve">Queensland Government. Homes and housing: </w:t>
      </w:r>
      <w:hyperlink r:id="rId22" w:history="1">
        <w:r w:rsidRPr="000154D0">
          <w:rPr>
            <w:rStyle w:val="Hyperlink"/>
            <w:color w:val="0070C0"/>
            <w:spacing w:val="-4"/>
          </w:rPr>
          <w:t>www.qld.gov.au/housing/building-home</w:t>
        </w:r>
      </w:hyperlink>
    </w:p>
    <w:p w14:paraId="6D146814" w14:textId="77777777" w:rsidR="00B2528F" w:rsidRPr="000154D0" w:rsidRDefault="00B2528F" w:rsidP="00B2528F">
      <w:pPr>
        <w:pStyle w:val="BodyText"/>
        <w:numPr>
          <w:ilvl w:val="0"/>
          <w:numId w:val="21"/>
        </w:numPr>
        <w:rPr>
          <w:color w:val="0070C0"/>
          <w:spacing w:val="-4"/>
        </w:rPr>
      </w:pPr>
      <w:r w:rsidRPr="00131314">
        <w:rPr>
          <w:spacing w:val="-4"/>
        </w:rPr>
        <w:t xml:space="preserve">Disability Standards for Accessible Public Transport 2002: </w:t>
      </w:r>
      <w:hyperlink r:id="rId23" w:history="1">
        <w:r w:rsidRPr="000154D0">
          <w:rPr>
            <w:rStyle w:val="Hyperlink"/>
            <w:color w:val="0070C0"/>
            <w:spacing w:val="-4"/>
          </w:rPr>
          <w:t>www.legislation.gov.au/Details/F2005B01059</w:t>
        </w:r>
      </w:hyperlink>
    </w:p>
    <w:p w14:paraId="42E9C572" w14:textId="77777777" w:rsidR="00B2528F" w:rsidRPr="000154D0" w:rsidRDefault="00B2528F" w:rsidP="00B2528F">
      <w:pPr>
        <w:pStyle w:val="BodyText"/>
        <w:numPr>
          <w:ilvl w:val="0"/>
          <w:numId w:val="21"/>
        </w:numPr>
        <w:rPr>
          <w:color w:val="0070C0"/>
          <w:spacing w:val="-4"/>
        </w:rPr>
      </w:pPr>
      <w:r w:rsidRPr="00131314">
        <w:rPr>
          <w:spacing w:val="-4"/>
        </w:rPr>
        <w:t xml:space="preserve">Queensland Government State Planning Policy: </w:t>
      </w:r>
      <w:hyperlink r:id="rId24" w:history="1">
        <w:r w:rsidRPr="000154D0">
          <w:rPr>
            <w:rStyle w:val="Hyperlink"/>
            <w:rFonts w:cstheme="minorHAnsi"/>
            <w:color w:val="0070C0"/>
          </w:rPr>
          <w:t>https://planning.statedevelopment.qld.gov.au/planning-framework/plan-making/state-planning/state-planning-policy</w:t>
        </w:r>
      </w:hyperlink>
      <w:r w:rsidRPr="000154D0">
        <w:rPr>
          <w:rFonts w:cstheme="minorHAnsi"/>
          <w:color w:val="0070C0"/>
          <w:spacing w:val="-4"/>
        </w:rPr>
        <w:t xml:space="preserve"> </w:t>
      </w:r>
    </w:p>
    <w:p w14:paraId="1D487BC3" w14:textId="77777777" w:rsidR="00B2528F" w:rsidRPr="004A7D48" w:rsidRDefault="00B2528F" w:rsidP="00B2528F">
      <w:pPr>
        <w:pStyle w:val="Heading2"/>
        <w:spacing w:before="360"/>
      </w:pPr>
      <w:bookmarkStart w:id="0" w:name="_Hlk129243974"/>
      <w:r w:rsidRPr="004A7D48">
        <w:t>For further information</w:t>
      </w:r>
    </w:p>
    <w:p w14:paraId="00C0970D" w14:textId="77777777" w:rsidR="00B2528F" w:rsidRPr="005B6242" w:rsidRDefault="00B2528F" w:rsidP="00B2528F">
      <w:pPr>
        <w:spacing w:before="69" w:line="264" w:lineRule="exact"/>
        <w:ind w:right="432"/>
        <w:rPr>
          <w:rFonts w:ascii="Calibri"/>
          <w:color w:val="231F20"/>
          <w:spacing w:val="-2"/>
          <w:u w:val="single" w:color="231F20"/>
        </w:rPr>
      </w:pPr>
      <w:r w:rsidRPr="005B6242">
        <w:rPr>
          <w:rFonts w:ascii="Calibri"/>
          <w:color w:val="231F20"/>
          <w:spacing w:val="-2"/>
        </w:rPr>
        <w:t>For</w:t>
      </w:r>
      <w:r w:rsidRPr="005B6242">
        <w:rPr>
          <w:rFonts w:ascii="Calibri"/>
          <w:color w:val="231F20"/>
          <w:spacing w:val="16"/>
        </w:rPr>
        <w:t xml:space="preserve"> </w:t>
      </w:r>
      <w:r w:rsidRPr="005B6242">
        <w:rPr>
          <w:rFonts w:ascii="Calibri"/>
          <w:color w:val="231F20"/>
          <w:spacing w:val="-2"/>
        </w:rPr>
        <w:t>mor</w:t>
      </w:r>
      <w:r w:rsidRPr="005B6242">
        <w:rPr>
          <w:rFonts w:ascii="Calibri"/>
          <w:color w:val="231F20"/>
          <w:spacing w:val="-1"/>
        </w:rPr>
        <w:t>e</w:t>
      </w:r>
      <w:r w:rsidRPr="005B6242">
        <w:rPr>
          <w:rFonts w:ascii="Calibri"/>
          <w:color w:val="231F20"/>
          <w:spacing w:val="16"/>
        </w:rPr>
        <w:t xml:space="preserve"> </w:t>
      </w:r>
      <w:r w:rsidRPr="005B6242">
        <w:rPr>
          <w:rFonts w:ascii="Calibri"/>
          <w:color w:val="231F20"/>
          <w:spacing w:val="-1"/>
        </w:rPr>
        <w:t>inf</w:t>
      </w:r>
      <w:r w:rsidRPr="005B6242">
        <w:rPr>
          <w:rFonts w:ascii="Calibri"/>
          <w:color w:val="231F20"/>
          <w:spacing w:val="-2"/>
        </w:rPr>
        <w:t>orm</w:t>
      </w:r>
      <w:r w:rsidRPr="005B6242">
        <w:rPr>
          <w:rFonts w:ascii="Calibri"/>
          <w:color w:val="231F20"/>
          <w:spacing w:val="-1"/>
        </w:rPr>
        <w:t>ation</w:t>
      </w:r>
      <w:r w:rsidRPr="005B6242">
        <w:rPr>
          <w:rFonts w:ascii="Calibri"/>
          <w:color w:val="231F20"/>
          <w:spacing w:val="16"/>
        </w:rPr>
        <w:t xml:space="preserve"> </w:t>
      </w:r>
      <w:r w:rsidRPr="005B6242">
        <w:rPr>
          <w:rFonts w:ascii="Calibri"/>
          <w:color w:val="231F20"/>
        </w:rPr>
        <w:t>and</w:t>
      </w:r>
      <w:r w:rsidRPr="005B6242">
        <w:rPr>
          <w:rFonts w:ascii="Calibri"/>
          <w:color w:val="231F20"/>
          <w:spacing w:val="13"/>
        </w:rPr>
        <w:t xml:space="preserve"> </w:t>
      </w:r>
      <w:r w:rsidRPr="005B6242">
        <w:rPr>
          <w:rFonts w:ascii="Calibri"/>
          <w:color w:val="231F20"/>
          <w:spacing w:val="-3"/>
        </w:rPr>
        <w:t>r</w:t>
      </w:r>
      <w:r w:rsidRPr="005B6242">
        <w:rPr>
          <w:rFonts w:ascii="Calibri"/>
          <w:color w:val="231F20"/>
          <w:spacing w:val="-2"/>
        </w:rPr>
        <w:t>esou</w:t>
      </w:r>
      <w:r w:rsidRPr="005B6242">
        <w:rPr>
          <w:rFonts w:ascii="Calibri"/>
          <w:color w:val="231F20"/>
          <w:spacing w:val="-3"/>
        </w:rPr>
        <w:t>r</w:t>
      </w:r>
      <w:r w:rsidRPr="005B6242">
        <w:rPr>
          <w:rFonts w:ascii="Calibri"/>
          <w:color w:val="231F20"/>
          <w:spacing w:val="-2"/>
        </w:rPr>
        <w:t>ces,</w:t>
      </w:r>
      <w:r w:rsidRPr="005B6242">
        <w:rPr>
          <w:rFonts w:ascii="Calibri"/>
          <w:color w:val="231F20"/>
          <w:spacing w:val="14"/>
        </w:rPr>
        <w:t xml:space="preserve"> </w:t>
      </w:r>
      <w:r w:rsidRPr="005B6242">
        <w:rPr>
          <w:rFonts w:ascii="Calibri"/>
          <w:color w:val="231F20"/>
          <w:spacing w:val="-3"/>
        </w:rPr>
        <w:t>v</w:t>
      </w:r>
      <w:r w:rsidRPr="005B6242">
        <w:rPr>
          <w:rFonts w:ascii="Calibri"/>
          <w:color w:val="231F20"/>
          <w:spacing w:val="-2"/>
        </w:rPr>
        <w:t>isit:</w:t>
      </w:r>
      <w:r w:rsidRPr="005B6242">
        <w:rPr>
          <w:rFonts w:ascii="Calibri"/>
          <w:color w:val="231F20"/>
          <w:spacing w:val="16"/>
        </w:rPr>
        <w:t xml:space="preserve"> </w:t>
      </w:r>
      <w:proofErr w:type="gramStart"/>
      <w:r>
        <w:rPr>
          <w:rFonts w:ascii="Calibri"/>
          <w:color w:val="231F20"/>
          <w:spacing w:val="-3"/>
          <w:u w:val="single" w:color="231F20"/>
        </w:rPr>
        <w:t>www.qld.gov.au/qld-disability-plan</w:t>
      </w:r>
      <w:proofErr w:type="gramEnd"/>
    </w:p>
    <w:p w14:paraId="776F6B77" w14:textId="77777777" w:rsidR="00B2528F" w:rsidRPr="005B6242" w:rsidRDefault="00B2528F" w:rsidP="00B2528F">
      <w:pPr>
        <w:spacing w:before="69" w:after="80" w:line="264" w:lineRule="exact"/>
        <w:ind w:right="431"/>
        <w:rPr>
          <w:rFonts w:ascii="Calibri" w:eastAsia="Calibri" w:hAnsi="Calibri" w:cs="Calibri"/>
        </w:rPr>
      </w:pPr>
      <w:r w:rsidRPr="005B6242">
        <w:rPr>
          <w:rFonts w:ascii="Calibri"/>
          <w:b/>
          <w:color w:val="231F20"/>
          <w:spacing w:val="-3"/>
          <w:w w:val="110"/>
        </w:rPr>
        <w:t>Resour</w:t>
      </w:r>
      <w:r w:rsidRPr="005B6242">
        <w:rPr>
          <w:rFonts w:ascii="Calibri"/>
          <w:b/>
          <w:color w:val="231F20"/>
          <w:spacing w:val="-2"/>
          <w:w w:val="110"/>
        </w:rPr>
        <w:t>c</w:t>
      </w:r>
      <w:r w:rsidRPr="005B6242">
        <w:rPr>
          <w:rFonts w:ascii="Calibri"/>
          <w:b/>
          <w:color w:val="231F20"/>
          <w:spacing w:val="-3"/>
          <w:w w:val="110"/>
        </w:rPr>
        <w:t>e</w:t>
      </w:r>
      <w:r w:rsidRPr="005B6242">
        <w:rPr>
          <w:rFonts w:ascii="Calibri"/>
          <w:b/>
          <w:color w:val="231F20"/>
          <w:spacing w:val="-2"/>
          <w:w w:val="110"/>
        </w:rPr>
        <w:t>s</w:t>
      </w:r>
      <w:r w:rsidRPr="005B6242">
        <w:rPr>
          <w:rFonts w:ascii="Calibri"/>
          <w:b/>
          <w:color w:val="231F20"/>
          <w:spacing w:val="-19"/>
          <w:w w:val="110"/>
        </w:rPr>
        <w:t xml:space="preserve"> </w:t>
      </w:r>
      <w:r w:rsidRPr="005B6242">
        <w:rPr>
          <w:rFonts w:ascii="Calibri"/>
          <w:b/>
          <w:color w:val="231F20"/>
          <w:w w:val="110"/>
        </w:rPr>
        <w:t>in</w:t>
      </w:r>
      <w:r w:rsidRPr="005B6242">
        <w:rPr>
          <w:rFonts w:ascii="Calibri"/>
          <w:b/>
          <w:color w:val="231F20"/>
          <w:spacing w:val="-17"/>
          <w:w w:val="110"/>
        </w:rPr>
        <w:t xml:space="preserve"> </w:t>
      </w:r>
      <w:r w:rsidRPr="005B6242">
        <w:rPr>
          <w:rFonts w:ascii="Calibri"/>
          <w:b/>
          <w:color w:val="231F20"/>
          <w:spacing w:val="-2"/>
          <w:w w:val="110"/>
        </w:rPr>
        <w:t>thi</w:t>
      </w:r>
      <w:r w:rsidRPr="005B6242">
        <w:rPr>
          <w:rFonts w:ascii="Calibri"/>
          <w:b/>
          <w:color w:val="231F20"/>
          <w:spacing w:val="-1"/>
          <w:w w:val="110"/>
        </w:rPr>
        <w:t>s</w:t>
      </w:r>
      <w:r w:rsidRPr="005B6242">
        <w:rPr>
          <w:rFonts w:ascii="Calibri"/>
          <w:b/>
          <w:color w:val="231F20"/>
          <w:spacing w:val="-18"/>
          <w:w w:val="110"/>
        </w:rPr>
        <w:t xml:space="preserve"> </w:t>
      </w:r>
      <w:r w:rsidRPr="005B6242">
        <w:rPr>
          <w:rFonts w:ascii="Calibri"/>
          <w:b/>
          <w:color w:val="231F20"/>
          <w:spacing w:val="-1"/>
          <w:w w:val="110"/>
        </w:rPr>
        <w:t>ser</w:t>
      </w:r>
      <w:r w:rsidRPr="005B6242">
        <w:rPr>
          <w:rFonts w:ascii="Calibri"/>
          <w:b/>
          <w:color w:val="231F20"/>
          <w:spacing w:val="-2"/>
          <w:w w:val="110"/>
        </w:rPr>
        <w:t>ie</w:t>
      </w:r>
      <w:r w:rsidRPr="005B6242">
        <w:rPr>
          <w:rFonts w:ascii="Calibri"/>
          <w:b/>
          <w:color w:val="231F20"/>
          <w:spacing w:val="-1"/>
          <w:w w:val="110"/>
        </w:rPr>
        <w:t>s</w:t>
      </w:r>
      <w:r w:rsidRPr="005B6242">
        <w:rPr>
          <w:rFonts w:ascii="Calibri"/>
          <w:b/>
          <w:color w:val="231F20"/>
          <w:spacing w:val="-19"/>
          <w:w w:val="110"/>
        </w:rPr>
        <w:t xml:space="preserve"> </w:t>
      </w:r>
      <w:r w:rsidRPr="005B6242">
        <w:rPr>
          <w:rFonts w:ascii="Calibri"/>
          <w:b/>
          <w:color w:val="231F20"/>
          <w:spacing w:val="-1"/>
          <w:w w:val="110"/>
        </w:rPr>
        <w:t>inc</w:t>
      </w:r>
      <w:r w:rsidRPr="005B6242">
        <w:rPr>
          <w:rFonts w:ascii="Calibri"/>
          <w:b/>
          <w:color w:val="231F20"/>
          <w:spacing w:val="-2"/>
          <w:w w:val="110"/>
        </w:rPr>
        <w:t>lude:</w:t>
      </w:r>
    </w:p>
    <w:p w14:paraId="087AB8B5" w14:textId="77777777" w:rsidR="00B2528F" w:rsidRPr="005B6242" w:rsidRDefault="00B2528F" w:rsidP="00B2528F">
      <w:pPr>
        <w:widowControl w:val="0"/>
        <w:numPr>
          <w:ilvl w:val="0"/>
          <w:numId w:val="4"/>
        </w:numPr>
        <w:spacing w:before="108" w:after="0" w:line="266" w:lineRule="exact"/>
        <w:ind w:left="425" w:hanging="425"/>
        <w:contextualSpacing/>
        <w:rPr>
          <w:rFonts w:ascii="Calibri" w:eastAsia="Calibri" w:hAnsi="Calibri" w:cs="Calibri"/>
        </w:rPr>
      </w:pPr>
      <w:r w:rsidRPr="005B6242">
        <w:rPr>
          <w:rFonts w:ascii="Calibri"/>
          <w:color w:val="231F20"/>
          <w:w w:val="110"/>
        </w:rPr>
        <w:t>Creating</w:t>
      </w:r>
      <w:r w:rsidRPr="005B6242">
        <w:rPr>
          <w:rFonts w:ascii="Calibri"/>
          <w:color w:val="231F20"/>
          <w:spacing w:val="-19"/>
          <w:w w:val="110"/>
        </w:rPr>
        <w:t xml:space="preserve"> </w:t>
      </w:r>
      <w:r w:rsidRPr="005B6242">
        <w:rPr>
          <w:rFonts w:ascii="Calibri"/>
          <w:color w:val="231F20"/>
          <w:w w:val="110"/>
        </w:rPr>
        <w:t>inclusive</w:t>
      </w:r>
      <w:r w:rsidRPr="005B6242">
        <w:rPr>
          <w:rFonts w:ascii="Calibri"/>
          <w:color w:val="231F20"/>
          <w:spacing w:val="-18"/>
          <w:w w:val="110"/>
        </w:rPr>
        <w:t xml:space="preserve"> </w:t>
      </w:r>
      <w:r w:rsidRPr="005B6242">
        <w:rPr>
          <w:rFonts w:ascii="Calibri"/>
          <w:color w:val="231F20"/>
          <w:w w:val="110"/>
        </w:rPr>
        <w:t>and</w:t>
      </w:r>
      <w:r w:rsidRPr="005B6242">
        <w:rPr>
          <w:rFonts w:ascii="Calibri"/>
          <w:color w:val="231F20"/>
          <w:spacing w:val="-19"/>
          <w:w w:val="110"/>
        </w:rPr>
        <w:t xml:space="preserve"> </w:t>
      </w:r>
      <w:r w:rsidRPr="005B6242">
        <w:rPr>
          <w:rFonts w:ascii="Calibri"/>
          <w:color w:val="231F20"/>
          <w:w w:val="110"/>
        </w:rPr>
        <w:t>accessible</w:t>
      </w:r>
      <w:r w:rsidRPr="005B6242">
        <w:rPr>
          <w:rFonts w:ascii="Calibri"/>
          <w:color w:val="231F20"/>
          <w:spacing w:val="-20"/>
          <w:w w:val="110"/>
        </w:rPr>
        <w:t xml:space="preserve"> </w:t>
      </w:r>
      <w:r w:rsidRPr="005B6242">
        <w:rPr>
          <w:rFonts w:ascii="Calibri"/>
          <w:color w:val="231F20"/>
          <w:w w:val="110"/>
        </w:rPr>
        <w:t>events</w:t>
      </w:r>
    </w:p>
    <w:p w14:paraId="670CBC29" w14:textId="77777777" w:rsidR="00B2528F" w:rsidRPr="005B6242" w:rsidRDefault="00B2528F" w:rsidP="00B2528F">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4"/>
          <w:w w:val="110"/>
        </w:rPr>
        <w:t>Ac</w:t>
      </w:r>
      <w:r w:rsidRPr="005B6242">
        <w:rPr>
          <w:rFonts w:ascii="Calibri"/>
          <w:color w:val="231F20"/>
          <w:spacing w:val="-3"/>
          <w:w w:val="110"/>
        </w:rPr>
        <w:t>c</w:t>
      </w:r>
      <w:r w:rsidRPr="005B6242">
        <w:rPr>
          <w:rFonts w:ascii="Calibri"/>
          <w:color w:val="231F20"/>
          <w:spacing w:val="-4"/>
          <w:w w:val="110"/>
        </w:rPr>
        <w:t>e</w:t>
      </w:r>
      <w:r w:rsidRPr="005B6242">
        <w:rPr>
          <w:rFonts w:ascii="Calibri"/>
          <w:color w:val="231F20"/>
          <w:spacing w:val="-3"/>
          <w:w w:val="110"/>
        </w:rPr>
        <w:t>ssi</w:t>
      </w:r>
      <w:r w:rsidRPr="005B6242">
        <w:rPr>
          <w:rFonts w:ascii="Calibri"/>
          <w:color w:val="231F20"/>
          <w:spacing w:val="-4"/>
          <w:w w:val="110"/>
        </w:rPr>
        <w:t>ble</w:t>
      </w:r>
      <w:r w:rsidRPr="005B6242">
        <w:rPr>
          <w:rFonts w:ascii="Calibri"/>
          <w:color w:val="231F20"/>
          <w:spacing w:val="-29"/>
          <w:w w:val="110"/>
        </w:rPr>
        <w:t xml:space="preserve"> </w:t>
      </w:r>
      <w:r w:rsidRPr="005B6242">
        <w:rPr>
          <w:rFonts w:ascii="Calibri"/>
          <w:color w:val="231F20"/>
          <w:w w:val="110"/>
        </w:rPr>
        <w:t>and</w:t>
      </w:r>
      <w:r w:rsidRPr="005B6242">
        <w:rPr>
          <w:rFonts w:ascii="Calibri"/>
          <w:color w:val="231F20"/>
          <w:spacing w:val="-29"/>
          <w:w w:val="110"/>
        </w:rPr>
        <w:t xml:space="preserve"> </w:t>
      </w:r>
      <w:r w:rsidRPr="005B6242">
        <w:rPr>
          <w:rFonts w:ascii="Calibri"/>
          <w:color w:val="231F20"/>
          <w:spacing w:val="-2"/>
          <w:w w:val="110"/>
        </w:rPr>
        <w:t>inclusi</w:t>
      </w:r>
      <w:r w:rsidRPr="005B6242">
        <w:rPr>
          <w:rFonts w:ascii="Calibri"/>
          <w:color w:val="231F20"/>
          <w:spacing w:val="-3"/>
          <w:w w:val="110"/>
        </w:rPr>
        <w:t>ve</w:t>
      </w:r>
      <w:r w:rsidRPr="005B6242">
        <w:rPr>
          <w:rFonts w:ascii="Calibri"/>
          <w:color w:val="231F20"/>
          <w:spacing w:val="-28"/>
          <w:w w:val="110"/>
        </w:rPr>
        <w:t xml:space="preserve"> </w:t>
      </w:r>
      <w:r w:rsidRPr="005B6242">
        <w:rPr>
          <w:rFonts w:ascii="Calibri"/>
          <w:color w:val="231F20"/>
          <w:spacing w:val="-1"/>
          <w:w w:val="110"/>
        </w:rPr>
        <w:t>c</w:t>
      </w:r>
      <w:r w:rsidRPr="005B6242">
        <w:rPr>
          <w:rFonts w:ascii="Calibri"/>
          <w:color w:val="231F20"/>
          <w:spacing w:val="-2"/>
          <w:w w:val="110"/>
        </w:rPr>
        <w:t>ommu</w:t>
      </w:r>
      <w:r w:rsidRPr="005B6242">
        <w:rPr>
          <w:rFonts w:ascii="Calibri"/>
          <w:color w:val="231F20"/>
          <w:spacing w:val="-1"/>
          <w:w w:val="110"/>
        </w:rPr>
        <w:t>nic</w:t>
      </w:r>
      <w:r w:rsidRPr="005B6242">
        <w:rPr>
          <w:rFonts w:ascii="Calibri"/>
          <w:color w:val="231F20"/>
          <w:spacing w:val="-2"/>
          <w:w w:val="110"/>
        </w:rPr>
        <w:t>ation</w:t>
      </w:r>
    </w:p>
    <w:p w14:paraId="6E9B6AE0" w14:textId="77777777" w:rsidR="00B2528F" w:rsidRPr="005B6242" w:rsidRDefault="00B2528F" w:rsidP="00B2528F">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1"/>
        </w:rPr>
        <w:t>Employing</w:t>
      </w:r>
      <w:r w:rsidRPr="005B6242">
        <w:rPr>
          <w:rFonts w:ascii="Calibri"/>
          <w:color w:val="231F20"/>
          <w:spacing w:val="16"/>
        </w:rPr>
        <w:t xml:space="preserve"> </w:t>
      </w:r>
      <w:r w:rsidRPr="005B6242">
        <w:rPr>
          <w:rFonts w:ascii="Calibri"/>
          <w:color w:val="231F20"/>
          <w:spacing w:val="-1"/>
        </w:rPr>
        <w:t>people</w:t>
      </w:r>
      <w:r w:rsidRPr="005B6242">
        <w:rPr>
          <w:rFonts w:ascii="Calibri"/>
          <w:color w:val="231F20"/>
          <w:spacing w:val="17"/>
        </w:rPr>
        <w:t xml:space="preserve"> </w:t>
      </w:r>
      <w:r w:rsidRPr="005B6242">
        <w:rPr>
          <w:rFonts w:ascii="Calibri"/>
          <w:color w:val="231F20"/>
          <w:spacing w:val="-2"/>
        </w:rPr>
        <w:t>w</w:t>
      </w:r>
      <w:r w:rsidRPr="005B6242">
        <w:rPr>
          <w:rFonts w:ascii="Calibri"/>
          <w:color w:val="231F20"/>
          <w:spacing w:val="-1"/>
        </w:rPr>
        <w:t>ith</w:t>
      </w:r>
      <w:r w:rsidRPr="005B6242">
        <w:rPr>
          <w:rFonts w:ascii="Calibri"/>
          <w:color w:val="231F20"/>
          <w:spacing w:val="17"/>
        </w:rPr>
        <w:t xml:space="preserve"> </w:t>
      </w:r>
      <w:r w:rsidRPr="005B6242">
        <w:rPr>
          <w:rFonts w:ascii="Calibri"/>
          <w:color w:val="231F20"/>
          <w:spacing w:val="-2"/>
        </w:rPr>
        <w:t>disability</w:t>
      </w:r>
    </w:p>
    <w:p w14:paraId="5B60087D" w14:textId="77777777" w:rsidR="00B2528F" w:rsidRPr="005B6242" w:rsidRDefault="00B2528F" w:rsidP="00B2528F">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3"/>
          <w:w w:val="110"/>
        </w:rPr>
        <w:t>Incre</w:t>
      </w:r>
      <w:r w:rsidRPr="005B6242">
        <w:rPr>
          <w:rFonts w:ascii="Calibri"/>
          <w:color w:val="231F20"/>
          <w:spacing w:val="-2"/>
          <w:w w:val="110"/>
        </w:rPr>
        <w:t>asing</w:t>
      </w:r>
      <w:r w:rsidRPr="005B6242">
        <w:rPr>
          <w:rFonts w:ascii="Calibri"/>
          <w:color w:val="231F20"/>
          <w:spacing w:val="-13"/>
          <w:w w:val="110"/>
        </w:rPr>
        <w:t xml:space="preserve"> </w:t>
      </w:r>
      <w:r w:rsidRPr="005B6242">
        <w:rPr>
          <w:rFonts w:ascii="Calibri"/>
          <w:color w:val="231F20"/>
          <w:spacing w:val="-2"/>
          <w:w w:val="110"/>
        </w:rPr>
        <w:t>disa</w:t>
      </w:r>
      <w:r w:rsidRPr="005B6242">
        <w:rPr>
          <w:rFonts w:ascii="Calibri"/>
          <w:color w:val="231F20"/>
          <w:spacing w:val="-3"/>
          <w:w w:val="110"/>
        </w:rPr>
        <w:t>b</w:t>
      </w:r>
      <w:r w:rsidRPr="005B6242">
        <w:rPr>
          <w:rFonts w:ascii="Calibri"/>
          <w:color w:val="231F20"/>
          <w:spacing w:val="-2"/>
          <w:w w:val="110"/>
        </w:rPr>
        <w:t>i</w:t>
      </w:r>
      <w:r w:rsidRPr="005B6242">
        <w:rPr>
          <w:rFonts w:ascii="Calibri"/>
          <w:color w:val="231F20"/>
          <w:spacing w:val="-3"/>
          <w:w w:val="110"/>
        </w:rPr>
        <w:t>lity</w:t>
      </w:r>
      <w:r w:rsidRPr="005B6242">
        <w:rPr>
          <w:rFonts w:ascii="Calibri"/>
          <w:color w:val="231F20"/>
          <w:spacing w:val="-14"/>
          <w:w w:val="110"/>
        </w:rPr>
        <w:t xml:space="preserve"> </w:t>
      </w:r>
      <w:r w:rsidRPr="005B6242">
        <w:rPr>
          <w:rFonts w:ascii="Calibri"/>
          <w:color w:val="231F20"/>
          <w:spacing w:val="-2"/>
          <w:w w:val="110"/>
        </w:rPr>
        <w:t>a</w:t>
      </w:r>
      <w:r w:rsidRPr="005B6242">
        <w:rPr>
          <w:rFonts w:ascii="Calibri"/>
          <w:color w:val="231F20"/>
          <w:spacing w:val="-3"/>
          <w:w w:val="110"/>
        </w:rPr>
        <w:t>warene</w:t>
      </w:r>
      <w:r w:rsidRPr="005B6242">
        <w:rPr>
          <w:rFonts w:ascii="Calibri"/>
          <w:color w:val="231F20"/>
          <w:spacing w:val="-2"/>
          <w:w w:val="110"/>
        </w:rPr>
        <w:t>ss</w:t>
      </w:r>
    </w:p>
    <w:p w14:paraId="0E3279A8" w14:textId="77777777" w:rsidR="00B2528F" w:rsidRPr="005B6242" w:rsidRDefault="00B2528F" w:rsidP="00B2528F">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3"/>
          <w:w w:val="110"/>
        </w:rPr>
        <w:t>Di</w:t>
      </w:r>
      <w:r w:rsidRPr="005B6242">
        <w:rPr>
          <w:rFonts w:ascii="Calibri"/>
          <w:color w:val="231F20"/>
          <w:spacing w:val="-2"/>
          <w:w w:val="110"/>
        </w:rPr>
        <w:t>sa</w:t>
      </w:r>
      <w:r w:rsidRPr="005B6242">
        <w:rPr>
          <w:rFonts w:ascii="Calibri"/>
          <w:color w:val="231F20"/>
          <w:spacing w:val="-3"/>
          <w:w w:val="110"/>
        </w:rPr>
        <w:t>b</w:t>
      </w:r>
      <w:r w:rsidRPr="005B6242">
        <w:rPr>
          <w:rFonts w:ascii="Calibri"/>
          <w:color w:val="231F20"/>
          <w:spacing w:val="-2"/>
          <w:w w:val="110"/>
        </w:rPr>
        <w:t>i</w:t>
      </w:r>
      <w:r w:rsidRPr="005B6242">
        <w:rPr>
          <w:rFonts w:ascii="Calibri"/>
          <w:color w:val="231F20"/>
          <w:spacing w:val="-3"/>
          <w:w w:val="110"/>
        </w:rPr>
        <w:t>lity</w:t>
      </w:r>
      <w:r w:rsidRPr="005B6242">
        <w:rPr>
          <w:rFonts w:ascii="Calibri"/>
          <w:color w:val="231F20"/>
          <w:spacing w:val="-10"/>
          <w:w w:val="110"/>
        </w:rPr>
        <w:t xml:space="preserve"> </w:t>
      </w:r>
      <w:r w:rsidRPr="005B6242">
        <w:rPr>
          <w:rFonts w:ascii="Calibri"/>
          <w:color w:val="231F20"/>
          <w:w w:val="110"/>
        </w:rPr>
        <w:t>action</w:t>
      </w:r>
      <w:r w:rsidRPr="005B6242">
        <w:rPr>
          <w:rFonts w:ascii="Calibri"/>
          <w:color w:val="231F20"/>
          <w:spacing w:val="-8"/>
          <w:w w:val="110"/>
        </w:rPr>
        <w:t xml:space="preserve"> </w:t>
      </w:r>
      <w:r w:rsidRPr="005B6242">
        <w:rPr>
          <w:rFonts w:ascii="Calibri"/>
          <w:color w:val="231F20"/>
          <w:spacing w:val="-3"/>
          <w:w w:val="110"/>
        </w:rPr>
        <w:t>p</w:t>
      </w:r>
      <w:r w:rsidRPr="005B6242">
        <w:rPr>
          <w:rFonts w:ascii="Calibri"/>
          <w:color w:val="231F20"/>
          <w:spacing w:val="-2"/>
          <w:w w:val="110"/>
        </w:rPr>
        <w:t>l</w:t>
      </w:r>
      <w:r w:rsidRPr="005B6242">
        <w:rPr>
          <w:rFonts w:ascii="Calibri"/>
          <w:color w:val="231F20"/>
          <w:spacing w:val="-3"/>
          <w:w w:val="110"/>
        </w:rPr>
        <w:t>an</w:t>
      </w:r>
      <w:r w:rsidRPr="005B6242">
        <w:rPr>
          <w:rFonts w:ascii="Calibri"/>
          <w:color w:val="231F20"/>
          <w:spacing w:val="-2"/>
          <w:w w:val="110"/>
        </w:rPr>
        <w:t>s</w:t>
      </w:r>
      <w:r w:rsidRPr="005B6242">
        <w:rPr>
          <w:rFonts w:ascii="Calibri"/>
          <w:color w:val="231F20"/>
          <w:spacing w:val="-10"/>
          <w:w w:val="110"/>
        </w:rPr>
        <w:t xml:space="preserve"> </w:t>
      </w:r>
      <w:r w:rsidRPr="005B6242">
        <w:rPr>
          <w:rFonts w:ascii="Calibri"/>
          <w:color w:val="231F20"/>
          <w:w w:val="110"/>
        </w:rPr>
        <w:t>and</w:t>
      </w:r>
      <w:r w:rsidRPr="005B6242">
        <w:rPr>
          <w:rFonts w:ascii="Calibri"/>
          <w:color w:val="231F20"/>
          <w:spacing w:val="-10"/>
          <w:w w:val="110"/>
        </w:rPr>
        <w:t xml:space="preserve"> </w:t>
      </w:r>
      <w:r w:rsidRPr="005B6242">
        <w:rPr>
          <w:rFonts w:ascii="Calibri"/>
          <w:color w:val="231F20"/>
          <w:spacing w:val="-1"/>
          <w:w w:val="110"/>
        </w:rPr>
        <w:t>legisl</w:t>
      </w:r>
      <w:r w:rsidRPr="005B6242">
        <w:rPr>
          <w:rFonts w:ascii="Calibri"/>
          <w:color w:val="231F20"/>
          <w:spacing w:val="-2"/>
          <w:w w:val="110"/>
        </w:rPr>
        <w:t>ation</w:t>
      </w:r>
    </w:p>
    <w:p w14:paraId="4171D821" w14:textId="77777777" w:rsidR="00B2528F" w:rsidRPr="005B6242" w:rsidRDefault="00B2528F" w:rsidP="00B2528F">
      <w:pPr>
        <w:widowControl w:val="0"/>
        <w:numPr>
          <w:ilvl w:val="0"/>
          <w:numId w:val="4"/>
        </w:numPr>
        <w:spacing w:before="69" w:after="0" w:line="264" w:lineRule="exact"/>
        <w:ind w:left="425" w:right="994" w:hanging="425"/>
        <w:contextualSpacing/>
        <w:rPr>
          <w:color w:val="231F20"/>
          <w:spacing w:val="-2"/>
        </w:rPr>
      </w:pPr>
      <w:r w:rsidRPr="005B6242">
        <w:rPr>
          <w:rFonts w:ascii="Calibri"/>
          <w:color w:val="231F20"/>
          <w:spacing w:val="-2"/>
        </w:rPr>
        <w:t>Inc</w:t>
      </w:r>
      <w:r w:rsidRPr="005B6242">
        <w:rPr>
          <w:rFonts w:ascii="Calibri"/>
          <w:color w:val="231F20"/>
          <w:spacing w:val="-3"/>
        </w:rPr>
        <w:t>r</w:t>
      </w:r>
      <w:r w:rsidRPr="005B6242">
        <w:rPr>
          <w:rFonts w:ascii="Calibri"/>
          <w:color w:val="231F20"/>
          <w:spacing w:val="-2"/>
        </w:rPr>
        <w:t>easing</w:t>
      </w:r>
      <w:r w:rsidRPr="005B6242">
        <w:rPr>
          <w:rFonts w:ascii="Calibri"/>
          <w:color w:val="231F20"/>
          <w:spacing w:val="10"/>
        </w:rPr>
        <w:t xml:space="preserve"> </w:t>
      </w:r>
      <w:r w:rsidRPr="005B6242">
        <w:rPr>
          <w:rFonts w:ascii="Calibri"/>
          <w:color w:val="231F20"/>
          <w:spacing w:val="-1"/>
        </w:rPr>
        <w:t>participation</w:t>
      </w:r>
      <w:r w:rsidRPr="005B6242">
        <w:rPr>
          <w:rFonts w:ascii="Calibri"/>
          <w:color w:val="231F20"/>
          <w:spacing w:val="11"/>
        </w:rPr>
        <w:t xml:space="preserve"> </w:t>
      </w:r>
      <w:r w:rsidRPr="005B6242">
        <w:rPr>
          <w:rFonts w:ascii="Calibri"/>
          <w:color w:val="231F20"/>
        </w:rPr>
        <w:t>of</w:t>
      </w:r>
      <w:r w:rsidRPr="005B6242">
        <w:rPr>
          <w:rFonts w:ascii="Calibri"/>
          <w:color w:val="231F20"/>
          <w:spacing w:val="9"/>
        </w:rPr>
        <w:t xml:space="preserve"> </w:t>
      </w:r>
      <w:r w:rsidRPr="005B6242">
        <w:rPr>
          <w:rFonts w:ascii="Calibri"/>
          <w:color w:val="231F20"/>
          <w:spacing w:val="-1"/>
        </w:rPr>
        <w:t>people</w:t>
      </w:r>
      <w:r w:rsidRPr="005B6242">
        <w:rPr>
          <w:rFonts w:ascii="Calibri"/>
          <w:color w:val="231F20"/>
          <w:spacing w:val="11"/>
        </w:rPr>
        <w:t xml:space="preserve"> </w:t>
      </w:r>
      <w:r w:rsidRPr="005B6242">
        <w:rPr>
          <w:rFonts w:ascii="Calibri"/>
          <w:color w:val="231F20"/>
          <w:spacing w:val="-2"/>
        </w:rPr>
        <w:t>w</w:t>
      </w:r>
      <w:r w:rsidRPr="005B6242">
        <w:rPr>
          <w:rFonts w:ascii="Calibri"/>
          <w:color w:val="231F20"/>
          <w:spacing w:val="-1"/>
        </w:rPr>
        <w:t>ith</w:t>
      </w:r>
      <w:r w:rsidRPr="005B6242">
        <w:rPr>
          <w:rFonts w:ascii="Calibri"/>
          <w:color w:val="231F20"/>
          <w:spacing w:val="11"/>
        </w:rPr>
        <w:t xml:space="preserve"> </w:t>
      </w:r>
      <w:r w:rsidRPr="005B6242">
        <w:rPr>
          <w:rFonts w:ascii="Calibri"/>
          <w:color w:val="231F20"/>
          <w:spacing w:val="-2"/>
        </w:rPr>
        <w:t>disability</w:t>
      </w:r>
      <w:r w:rsidRPr="005B6242">
        <w:rPr>
          <w:rFonts w:ascii="Calibri"/>
          <w:color w:val="231F20"/>
          <w:spacing w:val="8"/>
        </w:rPr>
        <w:t xml:space="preserve"> </w:t>
      </w:r>
      <w:r w:rsidRPr="005B6242">
        <w:rPr>
          <w:rFonts w:ascii="Calibri"/>
          <w:color w:val="231F20"/>
        </w:rPr>
        <w:t>on</w:t>
      </w:r>
      <w:r w:rsidRPr="005B6242">
        <w:rPr>
          <w:rFonts w:ascii="Calibri"/>
          <w:color w:val="231F20"/>
          <w:spacing w:val="11"/>
        </w:rPr>
        <w:t xml:space="preserve"> </w:t>
      </w:r>
      <w:r w:rsidRPr="005B6242">
        <w:rPr>
          <w:rFonts w:ascii="Calibri"/>
          <w:color w:val="231F20"/>
          <w:spacing w:val="-2"/>
        </w:rPr>
        <w:t>boards</w:t>
      </w:r>
      <w:r w:rsidRPr="005B6242">
        <w:rPr>
          <w:rFonts w:ascii="Calibri"/>
          <w:color w:val="231F20"/>
          <w:spacing w:val="8"/>
        </w:rPr>
        <w:t xml:space="preserve"> </w:t>
      </w:r>
      <w:r w:rsidRPr="005B6242">
        <w:rPr>
          <w:rFonts w:ascii="Calibri"/>
          <w:color w:val="231F20"/>
        </w:rPr>
        <w:t>and</w:t>
      </w:r>
      <w:r w:rsidRPr="005B6242">
        <w:rPr>
          <w:rFonts w:ascii="Calibri"/>
          <w:color w:val="231F20"/>
          <w:spacing w:val="9"/>
        </w:rPr>
        <w:t xml:space="preserve"> </w:t>
      </w:r>
      <w:r w:rsidRPr="005B6242">
        <w:rPr>
          <w:rFonts w:ascii="Calibri"/>
          <w:color w:val="231F20"/>
          <w:spacing w:val="-1"/>
        </w:rPr>
        <w:t>c</w:t>
      </w:r>
      <w:r w:rsidRPr="005B6242">
        <w:rPr>
          <w:rFonts w:ascii="Calibri"/>
          <w:color w:val="231F20"/>
          <w:spacing w:val="-2"/>
        </w:rPr>
        <w:t>ommitt</w:t>
      </w:r>
      <w:r w:rsidRPr="005B6242">
        <w:rPr>
          <w:rFonts w:ascii="Calibri"/>
          <w:color w:val="231F20"/>
          <w:spacing w:val="-1"/>
        </w:rPr>
        <w:t>ees</w:t>
      </w:r>
    </w:p>
    <w:p w14:paraId="477D495F" w14:textId="77777777" w:rsidR="00B2528F" w:rsidRPr="005B6242" w:rsidRDefault="00B2528F" w:rsidP="00B2528F">
      <w:pPr>
        <w:widowControl w:val="0"/>
        <w:numPr>
          <w:ilvl w:val="0"/>
          <w:numId w:val="4"/>
        </w:numPr>
        <w:spacing w:before="69" w:after="0" w:line="264" w:lineRule="exact"/>
        <w:ind w:left="425" w:right="994" w:hanging="425"/>
        <w:contextualSpacing/>
        <w:rPr>
          <w:color w:val="231F20"/>
          <w:spacing w:val="-2"/>
        </w:rPr>
      </w:pPr>
      <w:r w:rsidRPr="005B6242">
        <w:rPr>
          <w:rFonts w:ascii="Calibri"/>
          <w:color w:val="231F20"/>
          <w:spacing w:val="-4"/>
          <w:w w:val="110"/>
        </w:rPr>
        <w:t>A</w:t>
      </w:r>
      <w:r w:rsidRPr="005B6242">
        <w:rPr>
          <w:rFonts w:ascii="Calibri"/>
          <w:color w:val="231F20"/>
          <w:spacing w:val="-3"/>
          <w:w w:val="110"/>
        </w:rPr>
        <w:t>ccessibl</w:t>
      </w:r>
      <w:r w:rsidRPr="005B6242">
        <w:rPr>
          <w:rFonts w:ascii="Calibri"/>
          <w:color w:val="231F20"/>
          <w:spacing w:val="-4"/>
          <w:w w:val="110"/>
        </w:rPr>
        <w:t>e</w:t>
      </w:r>
      <w:r w:rsidRPr="005B6242">
        <w:rPr>
          <w:rFonts w:ascii="Calibri"/>
          <w:color w:val="231F20"/>
          <w:spacing w:val="-6"/>
          <w:w w:val="110"/>
        </w:rPr>
        <w:t xml:space="preserve"> </w:t>
      </w:r>
      <w:r w:rsidRPr="005B6242">
        <w:rPr>
          <w:rFonts w:ascii="Calibri"/>
          <w:color w:val="231F20"/>
          <w:spacing w:val="-2"/>
          <w:w w:val="110"/>
        </w:rPr>
        <w:t>places</w:t>
      </w:r>
      <w:r w:rsidRPr="005B6242">
        <w:rPr>
          <w:rFonts w:ascii="Calibri"/>
          <w:color w:val="231F20"/>
          <w:spacing w:val="-7"/>
          <w:w w:val="110"/>
        </w:rPr>
        <w:t xml:space="preserve"> </w:t>
      </w:r>
      <w:r w:rsidRPr="005B6242">
        <w:rPr>
          <w:rFonts w:ascii="Calibri"/>
          <w:color w:val="231F20"/>
          <w:w w:val="110"/>
        </w:rPr>
        <w:t>and</w:t>
      </w:r>
      <w:r w:rsidRPr="005B6242">
        <w:rPr>
          <w:rFonts w:ascii="Calibri"/>
          <w:color w:val="231F20"/>
          <w:spacing w:val="-7"/>
          <w:w w:val="110"/>
        </w:rPr>
        <w:t xml:space="preserve"> </w:t>
      </w:r>
      <w:r w:rsidRPr="005B6242">
        <w:rPr>
          <w:rFonts w:ascii="Calibri"/>
          <w:color w:val="231F20"/>
          <w:spacing w:val="-2"/>
          <w:w w:val="110"/>
        </w:rPr>
        <w:t>spaces</w:t>
      </w:r>
      <w:bookmarkEnd w:id="0"/>
    </w:p>
    <w:p w14:paraId="2C74A41E" w14:textId="77777777" w:rsidR="00B2528F" w:rsidRPr="005B6242" w:rsidRDefault="00B2528F" w:rsidP="00B2528F">
      <w:pPr>
        <w:pStyle w:val="Heading2"/>
        <w:rPr>
          <w:color w:val="231F20"/>
          <w:spacing w:val="-2"/>
          <w:sz w:val="24"/>
        </w:rPr>
      </w:pPr>
    </w:p>
    <w:p w14:paraId="45576276" w14:textId="5BD5DD26" w:rsidR="00564163" w:rsidRPr="00B2528F" w:rsidRDefault="00564163" w:rsidP="00B2528F"/>
    <w:sectPr w:rsidR="00564163" w:rsidRPr="00B2528F" w:rsidSect="00540741">
      <w:headerReference w:type="default" r:id="rId25"/>
      <w:footerReference w:type="default" r:id="rId26"/>
      <w:headerReference w:type="first" r:id="rId27"/>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A7A9" w14:textId="77777777" w:rsidR="008705D2" w:rsidRDefault="008705D2" w:rsidP="007175DE">
      <w:r>
        <w:separator/>
      </w:r>
    </w:p>
  </w:endnote>
  <w:endnote w:type="continuationSeparator" w:id="0">
    <w:p w14:paraId="1CEA497C" w14:textId="77777777" w:rsidR="008705D2" w:rsidRDefault="008705D2"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BC6F" w14:textId="77777777" w:rsidR="008705D2" w:rsidRDefault="008705D2" w:rsidP="007175DE">
      <w:r>
        <w:separator/>
      </w:r>
    </w:p>
  </w:footnote>
  <w:footnote w:type="continuationSeparator" w:id="0">
    <w:p w14:paraId="6CD85630" w14:textId="77777777" w:rsidR="008705D2" w:rsidRDefault="008705D2"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AC4332C"/>
    <w:multiLevelType w:val="hybridMultilevel"/>
    <w:tmpl w:val="CE4249CC"/>
    <w:lvl w:ilvl="0" w:tplc="D51898D4">
      <w:start w:val="1"/>
      <w:numFmt w:val="bullet"/>
      <w:lvlText w:val="o"/>
      <w:lvlJc w:val="left"/>
      <w:pPr>
        <w:ind w:left="360" w:hanging="360"/>
      </w:pPr>
      <w:rPr>
        <w:rFonts w:ascii="Courier New" w:hAnsi="Courier New" w:hint="default"/>
        <w:color w:val="A02521"/>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86DF3"/>
    <w:multiLevelType w:val="hybridMultilevel"/>
    <w:tmpl w:val="ADDC8684"/>
    <w:lvl w:ilvl="0" w:tplc="D51898D4">
      <w:start w:val="1"/>
      <w:numFmt w:val="bullet"/>
      <w:lvlText w:val="o"/>
      <w:lvlJc w:val="left"/>
      <w:pPr>
        <w:ind w:left="360" w:hanging="360"/>
      </w:pPr>
      <w:rPr>
        <w:rFonts w:ascii="Courier New" w:hAnsi="Courier New" w:hint="default"/>
        <w:color w:val="A02521"/>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6" w15:restartNumberingAfterBreak="0">
    <w:nsid w:val="2F2E3FA0"/>
    <w:multiLevelType w:val="hybridMultilevel"/>
    <w:tmpl w:val="1DAE051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8"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181253"/>
    <w:multiLevelType w:val="hybridMultilevel"/>
    <w:tmpl w:val="68CE0BB0"/>
    <w:lvl w:ilvl="0" w:tplc="C996F4DC">
      <w:start w:val="1"/>
      <w:numFmt w:val="bullet"/>
      <w:pStyle w:val="ListParagraph"/>
      <w:lvlText w:val=""/>
      <w:lvlJc w:val="left"/>
      <w:pPr>
        <w:ind w:left="623" w:hanging="417"/>
      </w:pPr>
      <w:rPr>
        <w:rFonts w:ascii="Arial" w:hAnsi="Arial" w:hint="default"/>
        <w:color w:val="B65589"/>
        <w:w w:val="138"/>
        <w:position w:val="-3"/>
        <w:sz w:val="36"/>
        <w:szCs w:val="36"/>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0"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1"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4"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5"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D7A46"/>
    <w:multiLevelType w:val="hybridMultilevel"/>
    <w:tmpl w:val="422CFBD2"/>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7" w15:restartNumberingAfterBreak="0">
    <w:nsid w:val="5CB96483"/>
    <w:multiLevelType w:val="hybridMultilevel"/>
    <w:tmpl w:val="8DA6B1EE"/>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8"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21" w15:restartNumberingAfterBreak="0">
    <w:nsid w:val="7D201B4F"/>
    <w:multiLevelType w:val="hybridMultilevel"/>
    <w:tmpl w:val="C6761322"/>
    <w:lvl w:ilvl="0" w:tplc="6B307AAA">
      <w:start w:val="1"/>
      <w:numFmt w:val="decimal"/>
      <w:lvlText w:val="%1."/>
      <w:lvlJc w:val="left"/>
      <w:pPr>
        <w:ind w:left="685" w:hanging="341"/>
      </w:pPr>
      <w:rPr>
        <w:rFonts w:ascii="Calibri" w:eastAsia="Calibri" w:hAnsi="Calibri" w:hint="default"/>
        <w:b/>
        <w:bCs/>
        <w:color w:val="231F20"/>
        <w:w w:val="92"/>
        <w:sz w:val="22"/>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22"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768044">
    <w:abstractNumId w:val="19"/>
  </w:num>
  <w:num w:numId="2" w16cid:durableId="2105563435">
    <w:abstractNumId w:val="22"/>
  </w:num>
  <w:num w:numId="3" w16cid:durableId="1530408689">
    <w:abstractNumId w:val="5"/>
  </w:num>
  <w:num w:numId="4" w16cid:durableId="340665820">
    <w:abstractNumId w:val="7"/>
  </w:num>
  <w:num w:numId="5" w16cid:durableId="1587494527">
    <w:abstractNumId w:val="19"/>
  </w:num>
  <w:num w:numId="6" w16cid:durableId="1518353100">
    <w:abstractNumId w:val="0"/>
  </w:num>
  <w:num w:numId="7" w16cid:durableId="615256963">
    <w:abstractNumId w:val="8"/>
  </w:num>
  <w:num w:numId="8" w16cid:durableId="723799174">
    <w:abstractNumId w:val="15"/>
  </w:num>
  <w:num w:numId="9" w16cid:durableId="1130900167">
    <w:abstractNumId w:val="18"/>
  </w:num>
  <w:num w:numId="10" w16cid:durableId="597300209">
    <w:abstractNumId w:val="9"/>
  </w:num>
  <w:num w:numId="11" w16cid:durableId="1657028487">
    <w:abstractNumId w:val="11"/>
  </w:num>
  <w:num w:numId="12" w16cid:durableId="1421179101">
    <w:abstractNumId w:val="14"/>
  </w:num>
  <w:num w:numId="13" w16cid:durableId="2042053402">
    <w:abstractNumId w:val="10"/>
  </w:num>
  <w:num w:numId="14" w16cid:durableId="1469780542">
    <w:abstractNumId w:val="13"/>
  </w:num>
  <w:num w:numId="15" w16cid:durableId="342971510">
    <w:abstractNumId w:val="4"/>
  </w:num>
  <w:num w:numId="16" w16cid:durableId="94591895">
    <w:abstractNumId w:val="3"/>
  </w:num>
  <w:num w:numId="17" w16cid:durableId="2010254164">
    <w:abstractNumId w:val="19"/>
  </w:num>
  <w:num w:numId="18" w16cid:durableId="924535864">
    <w:abstractNumId w:val="20"/>
    <w:lvlOverride w:ilvl="0">
      <w:startOverride w:val="1"/>
    </w:lvlOverride>
    <w:lvlOverride w:ilvl="1"/>
    <w:lvlOverride w:ilvl="2"/>
    <w:lvlOverride w:ilvl="3"/>
    <w:lvlOverride w:ilvl="4"/>
    <w:lvlOverride w:ilvl="5"/>
    <w:lvlOverride w:ilvl="6"/>
    <w:lvlOverride w:ilvl="7"/>
    <w:lvlOverride w:ilvl="8"/>
  </w:num>
  <w:num w:numId="19" w16cid:durableId="1459109942">
    <w:abstractNumId w:val="7"/>
    <w:lvlOverride w:ilvl="0">
      <w:startOverride w:val="1"/>
    </w:lvlOverride>
    <w:lvlOverride w:ilvl="1"/>
    <w:lvlOverride w:ilvl="2"/>
    <w:lvlOverride w:ilvl="3"/>
    <w:lvlOverride w:ilvl="4"/>
    <w:lvlOverride w:ilvl="5"/>
    <w:lvlOverride w:ilvl="6"/>
    <w:lvlOverride w:ilvl="7"/>
    <w:lvlOverride w:ilvl="8"/>
  </w:num>
  <w:num w:numId="20" w16cid:durableId="198203525">
    <w:abstractNumId w:val="12"/>
  </w:num>
  <w:num w:numId="21" w16cid:durableId="973412182">
    <w:abstractNumId w:val="20"/>
  </w:num>
  <w:num w:numId="22" w16cid:durableId="2007707329">
    <w:abstractNumId w:val="21"/>
  </w:num>
  <w:num w:numId="23" w16cid:durableId="412434834">
    <w:abstractNumId w:val="6"/>
  </w:num>
  <w:num w:numId="24" w16cid:durableId="952398748">
    <w:abstractNumId w:val="1"/>
  </w:num>
  <w:num w:numId="25" w16cid:durableId="2062173335">
    <w:abstractNumId w:val="2"/>
  </w:num>
  <w:num w:numId="26" w16cid:durableId="1034888175">
    <w:abstractNumId w:val="17"/>
  </w:num>
  <w:num w:numId="27" w16cid:durableId="7591828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057A2"/>
    <w:rsid w:val="000154D0"/>
    <w:rsid w:val="0006222C"/>
    <w:rsid w:val="0007771E"/>
    <w:rsid w:val="0008525D"/>
    <w:rsid w:val="000B04F6"/>
    <w:rsid w:val="00100A61"/>
    <w:rsid w:val="001155B8"/>
    <w:rsid w:val="00120A40"/>
    <w:rsid w:val="0012501B"/>
    <w:rsid w:val="00125AB2"/>
    <w:rsid w:val="0016551A"/>
    <w:rsid w:val="0016682F"/>
    <w:rsid w:val="00167FAE"/>
    <w:rsid w:val="00180169"/>
    <w:rsid w:val="001D1DAB"/>
    <w:rsid w:val="001D5734"/>
    <w:rsid w:val="00242C91"/>
    <w:rsid w:val="00272F81"/>
    <w:rsid w:val="00295D23"/>
    <w:rsid w:val="002C50C6"/>
    <w:rsid w:val="002C607B"/>
    <w:rsid w:val="0035636A"/>
    <w:rsid w:val="00407A29"/>
    <w:rsid w:val="004144EC"/>
    <w:rsid w:val="0045758F"/>
    <w:rsid w:val="004C577C"/>
    <w:rsid w:val="00540741"/>
    <w:rsid w:val="00541EB3"/>
    <w:rsid w:val="00564163"/>
    <w:rsid w:val="005748CD"/>
    <w:rsid w:val="005A6C71"/>
    <w:rsid w:val="005B6242"/>
    <w:rsid w:val="005F0721"/>
    <w:rsid w:val="00617778"/>
    <w:rsid w:val="006433A2"/>
    <w:rsid w:val="006768F5"/>
    <w:rsid w:val="006C2E7F"/>
    <w:rsid w:val="006F55D5"/>
    <w:rsid w:val="00700930"/>
    <w:rsid w:val="007175DE"/>
    <w:rsid w:val="0073115A"/>
    <w:rsid w:val="007339DE"/>
    <w:rsid w:val="007512FA"/>
    <w:rsid w:val="00757696"/>
    <w:rsid w:val="00776D0E"/>
    <w:rsid w:val="007E36D0"/>
    <w:rsid w:val="007E3F69"/>
    <w:rsid w:val="008021C5"/>
    <w:rsid w:val="0080736E"/>
    <w:rsid w:val="008451F0"/>
    <w:rsid w:val="008478C7"/>
    <w:rsid w:val="008705D2"/>
    <w:rsid w:val="00891C11"/>
    <w:rsid w:val="008970E5"/>
    <w:rsid w:val="008E54A6"/>
    <w:rsid w:val="008E63C1"/>
    <w:rsid w:val="008F78F0"/>
    <w:rsid w:val="009260F0"/>
    <w:rsid w:val="00927550"/>
    <w:rsid w:val="009278D0"/>
    <w:rsid w:val="00942E92"/>
    <w:rsid w:val="00963CD8"/>
    <w:rsid w:val="00977187"/>
    <w:rsid w:val="009B3BDD"/>
    <w:rsid w:val="009B6480"/>
    <w:rsid w:val="00A00808"/>
    <w:rsid w:val="00A15C9C"/>
    <w:rsid w:val="00A24BEE"/>
    <w:rsid w:val="00A72155"/>
    <w:rsid w:val="00AE3F3A"/>
    <w:rsid w:val="00AE48FE"/>
    <w:rsid w:val="00B06AF6"/>
    <w:rsid w:val="00B2326E"/>
    <w:rsid w:val="00B2528F"/>
    <w:rsid w:val="00BA48F9"/>
    <w:rsid w:val="00BE6E62"/>
    <w:rsid w:val="00C05FE8"/>
    <w:rsid w:val="00C50D7F"/>
    <w:rsid w:val="00CE36B2"/>
    <w:rsid w:val="00CE7D92"/>
    <w:rsid w:val="00D0699E"/>
    <w:rsid w:val="00D1774F"/>
    <w:rsid w:val="00D2044F"/>
    <w:rsid w:val="00DC38F6"/>
    <w:rsid w:val="00E307A7"/>
    <w:rsid w:val="00E320BA"/>
    <w:rsid w:val="00E536EC"/>
    <w:rsid w:val="00E60BAF"/>
    <w:rsid w:val="00EB6E95"/>
    <w:rsid w:val="00EE253A"/>
    <w:rsid w:val="00F4528B"/>
    <w:rsid w:val="00F45C7F"/>
    <w:rsid w:val="00F64C41"/>
    <w:rsid w:val="00F818EB"/>
    <w:rsid w:val="00F90225"/>
    <w:rsid w:val="00F91CB7"/>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ind w:left="0"/>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gingplaces.org.au/" TargetMode="External"/><Relationship Id="rId13" Type="http://schemas.openxmlformats.org/officeDocument/2006/relationships/hyperlink" Target="http://www.abcb.gov.au" TargetMode="External"/><Relationship Id="rId18" Type="http://schemas.openxmlformats.org/officeDocument/2006/relationships/hyperlink" Target="http://www.dss.gov.au/our-responsibilities/disability-and-carers/program-services/government-international/national-disability-strategy-initiatives/livable-housing-design/livable-housing-design-guidelin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qld.gov.au/housing/building-home" TargetMode="External"/><Relationship Id="rId7" Type="http://schemas.openxmlformats.org/officeDocument/2006/relationships/hyperlink" Target="http://www.access.asn.au" TargetMode="External"/><Relationship Id="rId12" Type="http://schemas.openxmlformats.org/officeDocument/2006/relationships/hyperlink" Target="http://www.tmr.qld.gov.au/Travel-and-transport/Disability-access-and-mobility" TargetMode="External"/><Relationship Id="rId17" Type="http://schemas.openxmlformats.org/officeDocument/2006/relationships/hyperlink" Target="http://www.hpw.qld.gov.au/construction/Sustainability/SmartSustainableHomes/SustainableHomeResources/Pages/Default.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gislation.gov.au/Details/C2018C00125" TargetMode="External"/><Relationship Id="rId20" Type="http://schemas.openxmlformats.org/officeDocument/2006/relationships/hyperlink" Target="https://anuhd.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ld.gov.au/disability/out-and-about" TargetMode="External"/><Relationship Id="rId24" Type="http://schemas.openxmlformats.org/officeDocument/2006/relationships/hyperlink" Target="https://planning.statedevelopment.qld.gov.au/planning-framework/plan-making/state-planning/state-planning-policy" TargetMode="External"/><Relationship Id="rId5" Type="http://schemas.openxmlformats.org/officeDocument/2006/relationships/footnotes" Target="footnotes.xml"/><Relationship Id="rId15" Type="http://schemas.openxmlformats.org/officeDocument/2006/relationships/hyperlink" Target="http://www.legislation.gov.au/Details/F2010L00668" TargetMode="External"/><Relationship Id="rId23" Type="http://schemas.openxmlformats.org/officeDocument/2006/relationships/hyperlink" Target="http://www.legislation.gov.au/Details/F2005B01059" TargetMode="External"/><Relationship Id="rId28" Type="http://schemas.openxmlformats.org/officeDocument/2006/relationships/fontTable" Target="fontTable.xml"/><Relationship Id="rId10" Type="http://schemas.openxmlformats.org/officeDocument/2006/relationships/hyperlink" Target="http://www.humanrights.gov.au/our-work/disability-rights" TargetMode="External"/><Relationship Id="rId19" Type="http://schemas.openxmlformats.org/officeDocument/2006/relationships/hyperlink" Target="https://www.dss.gov.au/disability-and-carers-programs-services-government-international/livable-housing-design" TargetMode="External"/><Relationship Id="rId4" Type="http://schemas.openxmlformats.org/officeDocument/2006/relationships/webSettings" Target="webSettings.xml"/><Relationship Id="rId9" Type="http://schemas.openxmlformats.org/officeDocument/2006/relationships/hyperlink" Target="https://www.qld.gov.au/housing" TargetMode="External"/><Relationship Id="rId14" Type="http://schemas.openxmlformats.org/officeDocument/2006/relationships/hyperlink" Target="https://ncc.abcb.gov.au/ncc-online/ncc" TargetMode="External"/><Relationship Id="rId22" Type="http://schemas.openxmlformats.org/officeDocument/2006/relationships/hyperlink" Target="http://www.qld.gov.au/housing/building-home"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8769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places and spaces</dc:title>
  <dc:subject>This resource provides information on building codes and standards for accessibility in construction, refurbishing buildings, and venues; on renewing leases; and on how to Â¬find standards for accessible public transport and accessible places and spaces.</dc:subject>
  <dc:creator>Queensland Government</dc:creator>
  <cp:keywords>Accessible places and spaces</cp:keywords>
  <cp:lastModifiedBy>Tanya R Campbell</cp:lastModifiedBy>
  <cp:revision>2</cp:revision>
  <dcterms:created xsi:type="dcterms:W3CDTF">2023-08-20T22:38:00Z</dcterms:created>
  <dcterms:modified xsi:type="dcterms:W3CDTF">2023-08-20T22:38:00Z</dcterms:modified>
</cp:coreProperties>
</file>