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722B6" w14:textId="58AC786B" w:rsidR="005C092E" w:rsidRDefault="00F93D21" w:rsidP="00F93D21">
      <w:pPr>
        <w:pStyle w:val="Title"/>
        <w:tabs>
          <w:tab w:val="left" w:pos="5700"/>
        </w:tabs>
      </w:pPr>
      <w:r>
        <w:tab/>
      </w:r>
    </w:p>
    <w:p w14:paraId="07BB60DC" w14:textId="77777777" w:rsidR="005C092E" w:rsidRDefault="005C092E" w:rsidP="005F0FB2">
      <w:pPr>
        <w:pStyle w:val="Title"/>
      </w:pPr>
    </w:p>
    <w:p w14:paraId="735E0194" w14:textId="77777777" w:rsidR="00F93D21" w:rsidRDefault="00F93D21" w:rsidP="00E57BF7">
      <w:pPr>
        <w:pStyle w:val="Title"/>
        <w:jc w:val="center"/>
        <w:rPr>
          <w:color w:val="auto"/>
        </w:rPr>
      </w:pPr>
    </w:p>
    <w:p w14:paraId="6ABFF76D" w14:textId="77777777" w:rsidR="00F93D21" w:rsidRDefault="00F93D21" w:rsidP="00E57BF7">
      <w:pPr>
        <w:pStyle w:val="Title"/>
        <w:jc w:val="center"/>
        <w:rPr>
          <w:color w:val="auto"/>
        </w:rPr>
      </w:pPr>
    </w:p>
    <w:p w14:paraId="09B6E7A3" w14:textId="786F8EA3" w:rsidR="00E57BF7" w:rsidRPr="00F93D21" w:rsidRDefault="0074605F" w:rsidP="00E57BF7">
      <w:pPr>
        <w:pStyle w:val="Title"/>
        <w:jc w:val="center"/>
        <w:rPr>
          <w:color w:val="auto"/>
        </w:rPr>
      </w:pPr>
      <w:r w:rsidRPr="00F93D21">
        <w:rPr>
          <w:color w:val="auto"/>
        </w:rPr>
        <w:t>Tertiary Family Support</w:t>
      </w:r>
      <w:r w:rsidR="006B0B1F" w:rsidRPr="00F93D21">
        <w:rPr>
          <w:color w:val="auto"/>
        </w:rPr>
        <w:t xml:space="preserve"> </w:t>
      </w:r>
      <w:r w:rsidRPr="00F93D21">
        <w:rPr>
          <w:color w:val="auto"/>
          <w:sz w:val="56"/>
          <w:szCs w:val="56"/>
        </w:rPr>
        <w:t>Brokerage Fund</w:t>
      </w:r>
      <w:r w:rsidR="009A7E22" w:rsidRPr="00F93D21">
        <w:rPr>
          <w:color w:val="auto"/>
          <w:sz w:val="56"/>
          <w:szCs w:val="56"/>
        </w:rPr>
        <w:t>s</w:t>
      </w:r>
      <w:r w:rsidR="00CF5A79" w:rsidRPr="00F93D21">
        <w:rPr>
          <w:color w:val="auto"/>
          <w:sz w:val="56"/>
          <w:szCs w:val="56"/>
        </w:rPr>
        <w:t xml:space="preserve"> -</w:t>
      </w:r>
    </w:p>
    <w:p w14:paraId="49B79DDD" w14:textId="7B06486E" w:rsidR="00BE6E10" w:rsidRPr="00F93D21" w:rsidRDefault="0074605F" w:rsidP="00E57BF7">
      <w:pPr>
        <w:pStyle w:val="Title"/>
        <w:jc w:val="center"/>
        <w:rPr>
          <w:i/>
          <w:iCs/>
          <w:color w:val="auto"/>
          <w:u w:val="single"/>
        </w:rPr>
      </w:pPr>
      <w:r w:rsidRPr="00F93D21">
        <w:rPr>
          <w:i/>
          <w:iCs/>
          <w:color w:val="auto"/>
          <w:sz w:val="56"/>
          <w:szCs w:val="56"/>
          <w:u w:val="single"/>
        </w:rPr>
        <w:t>Guidelines</w:t>
      </w:r>
    </w:p>
    <w:p w14:paraId="24301176" w14:textId="77777777" w:rsidR="005F0FB2" w:rsidRPr="00F93D21" w:rsidRDefault="005F0FB2" w:rsidP="005F0FB2"/>
    <w:p w14:paraId="631A9E1A" w14:textId="77777777" w:rsidR="005F0FB2" w:rsidRPr="00F93D21" w:rsidRDefault="005F0FB2" w:rsidP="005F0FB2"/>
    <w:p w14:paraId="0F303B2B" w14:textId="77777777" w:rsidR="005F0FB2" w:rsidRPr="00F93D21" w:rsidRDefault="005F0FB2" w:rsidP="005F0FB2"/>
    <w:p w14:paraId="485A8D6E" w14:textId="77777777" w:rsidR="005F0FB2" w:rsidRPr="00F93D21" w:rsidRDefault="005F0FB2" w:rsidP="005F0FB2"/>
    <w:p w14:paraId="1AB8C60B" w14:textId="77777777" w:rsidR="005F0FB2" w:rsidRPr="00F93D21" w:rsidRDefault="005F0FB2" w:rsidP="005F0FB2"/>
    <w:p w14:paraId="3D926645" w14:textId="77777777" w:rsidR="005F0FB2" w:rsidRPr="00F93D21" w:rsidRDefault="005F0FB2" w:rsidP="005F0FB2"/>
    <w:p w14:paraId="346A297A" w14:textId="77777777" w:rsidR="005F0FB2" w:rsidRPr="00F93D21" w:rsidRDefault="005F0FB2" w:rsidP="005F0FB2"/>
    <w:p w14:paraId="67C600F0" w14:textId="77777777" w:rsidR="005F0FB2" w:rsidRPr="00F93D21" w:rsidRDefault="005F0FB2" w:rsidP="005F0FB2"/>
    <w:p w14:paraId="321EEC4D" w14:textId="1FA39F47" w:rsidR="005F0FB2" w:rsidRPr="00F93D21" w:rsidRDefault="00204A48" w:rsidP="005F0FB2">
      <w:pPr>
        <w:pStyle w:val="Subtitle"/>
        <w:rPr>
          <w:color w:val="auto"/>
        </w:rPr>
      </w:pPr>
      <w:r w:rsidRPr="00F93D21">
        <w:rPr>
          <w:color w:val="auto"/>
        </w:rPr>
        <w:t xml:space="preserve">October </w:t>
      </w:r>
      <w:r w:rsidR="00E57BF7" w:rsidRPr="00F93D21">
        <w:rPr>
          <w:color w:val="auto"/>
        </w:rPr>
        <w:t>2020</w:t>
      </w:r>
    </w:p>
    <w:p w14:paraId="675C1C23" w14:textId="77777777" w:rsidR="005C092E" w:rsidRDefault="005C092E" w:rsidP="005C092E"/>
    <w:p w14:paraId="53B06692" w14:textId="77777777" w:rsidR="005C092E" w:rsidRDefault="005C092E" w:rsidP="005C092E"/>
    <w:p w14:paraId="315BD28C" w14:textId="77777777" w:rsidR="005C092E" w:rsidRDefault="005C092E" w:rsidP="005C092E"/>
    <w:p w14:paraId="2AA900BB" w14:textId="77777777" w:rsidR="005C092E" w:rsidRDefault="005C092E" w:rsidP="005C092E"/>
    <w:p w14:paraId="308DBE6E" w14:textId="77777777" w:rsidR="005C092E" w:rsidRDefault="005C092E" w:rsidP="005C092E"/>
    <w:p w14:paraId="48CF5A27" w14:textId="77777777" w:rsidR="005C092E" w:rsidRDefault="005C092E" w:rsidP="005C092E"/>
    <w:p w14:paraId="55C25BFD" w14:textId="77777777" w:rsidR="005C092E" w:rsidRDefault="005C092E" w:rsidP="005C092E"/>
    <w:p w14:paraId="3F5A4A25" w14:textId="30BFB037" w:rsidR="005C092E" w:rsidRDefault="006B0B1F" w:rsidP="00E57BF7">
      <w:pPr>
        <w:pStyle w:val="Heading1"/>
        <w:spacing w:after="240"/>
      </w:pPr>
      <w:r>
        <w:lastRenderedPageBreak/>
        <w:t>Guidelines</w:t>
      </w:r>
    </w:p>
    <w:p w14:paraId="05DB39F2" w14:textId="18058E01" w:rsidR="005C092E" w:rsidRDefault="00E57BF7" w:rsidP="00E57BF7">
      <w:pPr>
        <w:pStyle w:val="Heading2"/>
        <w:spacing w:after="120"/>
      </w:pPr>
      <w:r>
        <w:t>1. Purpose</w:t>
      </w:r>
    </w:p>
    <w:p w14:paraId="4CA9FB07" w14:textId="06F65BF4" w:rsidR="00E57BF7" w:rsidRDefault="00E57BF7" w:rsidP="00E57BF7">
      <w:r>
        <w:t>Brokerage funds held by service providers may only be used to purchase specialist services or goods that contribute to the overall needs and wellbeing of the child and family, consistent with the outcomes and intentions of the family’s support program and the department’s case plan goals.</w:t>
      </w:r>
    </w:p>
    <w:p w14:paraId="301018FB" w14:textId="33CDA68F" w:rsidR="00E57BF7" w:rsidRDefault="0001656C" w:rsidP="00E57BF7">
      <w:r>
        <w:t>In</w:t>
      </w:r>
      <w:r w:rsidR="00E57BF7">
        <w:t xml:space="preserve"> facilitating access to specialist services, brokerage </w:t>
      </w:r>
      <w:r w:rsidR="00CA1F6A">
        <w:t xml:space="preserve">funds </w:t>
      </w:r>
      <w:r w:rsidR="00E57BF7">
        <w:t xml:space="preserve">may be used where existing fee-free </w:t>
      </w:r>
      <w:r w:rsidR="00CA1F6A">
        <w:t xml:space="preserve">funded </w:t>
      </w:r>
      <w:r w:rsidR="00E57BF7">
        <w:t xml:space="preserve">services are unavailable, an immediate vacancy does not exist within the service or the service has a long wait list. </w:t>
      </w:r>
    </w:p>
    <w:p w14:paraId="749B1C10" w14:textId="3C5C7CEB" w:rsidR="00E57BF7" w:rsidRDefault="00E57BF7" w:rsidP="00E57BF7">
      <w:r>
        <w:t xml:space="preserve">Brokerage </w:t>
      </w:r>
      <w:r w:rsidR="00CA1F6A">
        <w:t xml:space="preserve">funds </w:t>
      </w:r>
      <w:r w:rsidR="00734B04">
        <w:t>may</w:t>
      </w:r>
      <w:r>
        <w:t xml:space="preserve"> be used to increase protective factors and reduce risk factors for children, enhance a family’s functioning and/or help maintain family relationships in keeping with case plan goals.</w:t>
      </w:r>
    </w:p>
    <w:p w14:paraId="744C8BD1" w14:textId="77777777" w:rsidR="00CA1F6A" w:rsidRDefault="00E57BF7" w:rsidP="00CA1F6A">
      <w:pPr>
        <w:spacing w:after="120"/>
      </w:pPr>
      <w:r>
        <w:t xml:space="preserve">Brokerage funds should be used when it has been identified </w:t>
      </w:r>
      <w:r w:rsidR="00CA1F6A">
        <w:t xml:space="preserve">that </w:t>
      </w:r>
      <w:r>
        <w:t xml:space="preserve">the use of these funds </w:t>
      </w:r>
      <w:r w:rsidR="006B0B1F">
        <w:t>is</w:t>
      </w:r>
      <w:r>
        <w:t xml:space="preserve"> a critical component in the family achieving the outcomes outlined in the case plan.</w:t>
      </w:r>
    </w:p>
    <w:p w14:paraId="154679CA" w14:textId="77777777" w:rsidR="00CA1F6A" w:rsidRDefault="00CA1F6A" w:rsidP="00CA1F6A">
      <w:pPr>
        <w:spacing w:after="120"/>
      </w:pPr>
    </w:p>
    <w:p w14:paraId="1F70BE04" w14:textId="737B7A10" w:rsidR="00CA1F6A" w:rsidRDefault="006B0B1F" w:rsidP="00CA1F6A">
      <w:pPr>
        <w:spacing w:after="120"/>
        <w:rPr>
          <w:rFonts w:eastAsiaTheme="majorEastAsia" w:cstheme="majorBidi"/>
          <w:b/>
          <w:bCs/>
          <w:color w:val="000000" w:themeColor="text1"/>
          <w:sz w:val="28"/>
          <w:szCs w:val="26"/>
        </w:rPr>
      </w:pPr>
      <w:r>
        <w:rPr>
          <w:rFonts w:eastAsiaTheme="majorEastAsia" w:cstheme="majorBidi"/>
          <w:b/>
          <w:bCs/>
          <w:color w:val="000000" w:themeColor="text1"/>
          <w:sz w:val="28"/>
          <w:szCs w:val="26"/>
        </w:rPr>
        <w:t>2</w:t>
      </w:r>
      <w:r w:rsidRPr="00E57BF7">
        <w:rPr>
          <w:rFonts w:eastAsiaTheme="majorEastAsia" w:cstheme="majorBidi"/>
          <w:b/>
          <w:bCs/>
          <w:color w:val="000000" w:themeColor="text1"/>
          <w:sz w:val="28"/>
          <w:szCs w:val="26"/>
        </w:rPr>
        <w:t>. P</w:t>
      </w:r>
      <w:r>
        <w:rPr>
          <w:rFonts w:eastAsiaTheme="majorEastAsia" w:cstheme="majorBidi"/>
          <w:b/>
          <w:bCs/>
          <w:color w:val="000000" w:themeColor="text1"/>
          <w:sz w:val="28"/>
          <w:szCs w:val="26"/>
        </w:rPr>
        <w:t>rinciples</w:t>
      </w:r>
    </w:p>
    <w:p w14:paraId="76AFF926" w14:textId="5F01FC78" w:rsidR="00CA1F6A" w:rsidRDefault="006B0B1F" w:rsidP="00CA1F6A">
      <w:pPr>
        <w:spacing w:after="120"/>
        <w:rPr>
          <w:rFonts w:eastAsiaTheme="majorEastAsia" w:cstheme="majorBidi"/>
          <w:b/>
          <w:bCs/>
          <w:color w:val="000000" w:themeColor="text1"/>
          <w:sz w:val="24"/>
        </w:rPr>
      </w:pPr>
      <w:r w:rsidRPr="00E57BF7">
        <w:t xml:space="preserve">The use of brokerage funds </w:t>
      </w:r>
      <w:r w:rsidR="00116CDD">
        <w:t xml:space="preserve">by </w:t>
      </w:r>
      <w:r w:rsidRPr="00E57BF7">
        <w:t>Tertiary Family Support services is guided by five principles:</w:t>
      </w:r>
      <w:r w:rsidR="00CA1F6A">
        <w:rPr>
          <w:rFonts w:eastAsiaTheme="majorEastAsia" w:cstheme="majorBidi"/>
          <w:b/>
          <w:bCs/>
          <w:color w:val="000000" w:themeColor="text1"/>
          <w:sz w:val="24"/>
        </w:rPr>
        <w:t xml:space="preserve"> </w:t>
      </w:r>
    </w:p>
    <w:p w14:paraId="430CF620" w14:textId="409A3354" w:rsidR="00CA1F6A" w:rsidRDefault="006B0B1F" w:rsidP="00CA1F6A">
      <w:pPr>
        <w:spacing w:after="120"/>
        <w:rPr>
          <w:rFonts w:eastAsiaTheme="majorEastAsia" w:cstheme="majorBidi"/>
          <w:b/>
          <w:bCs/>
          <w:color w:val="000000" w:themeColor="text1"/>
          <w:sz w:val="24"/>
        </w:rPr>
      </w:pPr>
      <w:r w:rsidRPr="00E57BF7">
        <w:rPr>
          <w:rFonts w:eastAsiaTheme="majorEastAsia" w:cstheme="majorBidi"/>
          <w:b/>
          <w:bCs/>
          <w:color w:val="000000" w:themeColor="text1"/>
          <w:sz w:val="24"/>
        </w:rPr>
        <w:t>2.1</w:t>
      </w:r>
      <w:r w:rsidRPr="00E57BF7">
        <w:rPr>
          <w:rFonts w:eastAsiaTheme="majorEastAsia" w:cstheme="majorBidi"/>
          <w:b/>
          <w:bCs/>
          <w:color w:val="000000" w:themeColor="text1"/>
          <w:sz w:val="28"/>
          <w:szCs w:val="26"/>
        </w:rPr>
        <w:tab/>
      </w:r>
      <w:r w:rsidRPr="000332B5">
        <w:rPr>
          <w:rFonts w:eastAsiaTheme="majorEastAsia" w:cstheme="majorBidi"/>
          <w:b/>
          <w:bCs/>
          <w:color w:val="000000" w:themeColor="text1"/>
          <w:sz w:val="24"/>
        </w:rPr>
        <w:t>Flexibilit</w:t>
      </w:r>
      <w:r w:rsidR="00CA1F6A">
        <w:rPr>
          <w:rFonts w:eastAsiaTheme="majorEastAsia" w:cstheme="majorBidi"/>
          <w:b/>
          <w:bCs/>
          <w:color w:val="000000" w:themeColor="text1"/>
          <w:sz w:val="24"/>
        </w:rPr>
        <w:t>y</w:t>
      </w:r>
    </w:p>
    <w:p w14:paraId="2ED59B3A" w14:textId="4DEC3F1D" w:rsidR="00CA1F6A" w:rsidRDefault="006B0B1F" w:rsidP="00CA1F6A">
      <w:pPr>
        <w:spacing w:after="120"/>
      </w:pPr>
      <w:r w:rsidRPr="00E57BF7">
        <w:t>The use of brokerage</w:t>
      </w:r>
      <w:r w:rsidR="00CA1F6A">
        <w:t xml:space="preserve"> funds</w:t>
      </w:r>
      <w:r w:rsidRPr="00E57BF7">
        <w:t xml:space="preserve"> is driven by choice and flexibility in services and </w:t>
      </w:r>
      <w:r w:rsidR="00734B04">
        <w:t>may</w:t>
      </w:r>
      <w:r w:rsidRPr="00E57BF7">
        <w:t xml:space="preserve"> be applied at any point during the client’s engagement with the service.</w:t>
      </w:r>
    </w:p>
    <w:p w14:paraId="433FCA55" w14:textId="77777777" w:rsidR="00CA1F6A" w:rsidRDefault="006B0B1F" w:rsidP="00CA1F6A">
      <w:pPr>
        <w:spacing w:after="120"/>
        <w:rPr>
          <w:rFonts w:eastAsiaTheme="majorEastAsia" w:cstheme="majorBidi"/>
          <w:b/>
          <w:bCs/>
          <w:color w:val="000000" w:themeColor="text1"/>
          <w:sz w:val="24"/>
        </w:rPr>
      </w:pPr>
      <w:r w:rsidRPr="000332B5">
        <w:rPr>
          <w:rFonts w:eastAsiaTheme="majorEastAsia" w:cstheme="majorBidi"/>
          <w:b/>
          <w:bCs/>
          <w:color w:val="000000" w:themeColor="text1"/>
          <w:sz w:val="24"/>
        </w:rPr>
        <w:t>2.2</w:t>
      </w:r>
      <w:r w:rsidRPr="000332B5">
        <w:rPr>
          <w:rFonts w:eastAsiaTheme="majorEastAsia" w:cstheme="majorBidi"/>
          <w:b/>
          <w:bCs/>
          <w:color w:val="000000" w:themeColor="text1"/>
          <w:sz w:val="24"/>
        </w:rPr>
        <w:tab/>
        <w:t>Client focus</w:t>
      </w:r>
    </w:p>
    <w:p w14:paraId="4D94B7A3" w14:textId="70C76B59" w:rsidR="00CA1F6A" w:rsidRDefault="00CA1F6A" w:rsidP="00CA1F6A">
      <w:pPr>
        <w:spacing w:after="120"/>
      </w:pPr>
      <w:r>
        <w:t xml:space="preserve">The use of </w:t>
      </w:r>
      <w:r w:rsidR="006B0B1F" w:rsidRPr="00E57BF7">
        <w:t xml:space="preserve">Brokerage </w:t>
      </w:r>
      <w:r>
        <w:t xml:space="preserve">funds </w:t>
      </w:r>
      <w:r w:rsidR="006B0B1F" w:rsidRPr="00E57BF7">
        <w:t>is responsive to and driven by the expressed needs of the client and is respectful of the rights, dignity and confidentiality of the family.</w:t>
      </w:r>
    </w:p>
    <w:p w14:paraId="401BEC93" w14:textId="77777777" w:rsidR="00CA1F6A" w:rsidRDefault="006B0B1F" w:rsidP="00CA1F6A">
      <w:pPr>
        <w:spacing w:after="120"/>
        <w:rPr>
          <w:rFonts w:eastAsiaTheme="majorEastAsia" w:cstheme="majorBidi"/>
          <w:b/>
          <w:bCs/>
          <w:color w:val="000000" w:themeColor="text1"/>
          <w:sz w:val="24"/>
        </w:rPr>
      </w:pPr>
      <w:r w:rsidRPr="000332B5">
        <w:rPr>
          <w:rFonts w:eastAsiaTheme="majorEastAsia" w:cstheme="majorBidi"/>
          <w:b/>
          <w:bCs/>
          <w:color w:val="000000" w:themeColor="text1"/>
          <w:sz w:val="24"/>
        </w:rPr>
        <w:t>2.3</w:t>
      </w:r>
      <w:r w:rsidRPr="000332B5">
        <w:rPr>
          <w:rFonts w:eastAsiaTheme="majorEastAsia" w:cstheme="majorBidi"/>
          <w:b/>
          <w:bCs/>
          <w:color w:val="000000" w:themeColor="text1"/>
          <w:sz w:val="24"/>
        </w:rPr>
        <w:tab/>
        <w:t>Case Management</w:t>
      </w:r>
    </w:p>
    <w:p w14:paraId="5F253E11" w14:textId="5D55D010" w:rsidR="00CA1F6A" w:rsidRDefault="006B0B1F" w:rsidP="00CA1F6A">
      <w:pPr>
        <w:spacing w:after="120"/>
      </w:pPr>
      <w:r w:rsidRPr="00E57BF7">
        <w:t>Brokerage funds are used within a case management context to enable families to access a range of goods, resources and services they may need to achieve the outcomes outlined in the case plan. This is particularly important for families with multiple needs as it improves access to specialist support and services.</w:t>
      </w:r>
    </w:p>
    <w:p w14:paraId="44A8B021" w14:textId="77777777" w:rsidR="00CA1F6A" w:rsidRDefault="006B0B1F" w:rsidP="00CA1F6A">
      <w:pPr>
        <w:spacing w:after="120"/>
      </w:pPr>
      <w:r w:rsidRPr="00E57BF7">
        <w:t>Interventions purchased with brokerage funds are assessed and negotiated in collaboration with the family</w:t>
      </w:r>
    </w:p>
    <w:p w14:paraId="55BE0F93" w14:textId="77777777" w:rsidR="00CA1F6A" w:rsidRDefault="006B0B1F" w:rsidP="00CA1F6A">
      <w:pPr>
        <w:spacing w:after="120"/>
      </w:pPr>
      <w:r w:rsidRPr="00E57BF7">
        <w:t>Responses are tailored to the specific needs of the child/family</w:t>
      </w:r>
      <w:r w:rsidR="00CA1F6A">
        <w:t xml:space="preserve">.  </w:t>
      </w:r>
      <w:r w:rsidRPr="00E57BF7">
        <w:t>A level of assessment and planning should be put in place prior to, or concurrently with, the use of brokerage funds</w:t>
      </w:r>
    </w:p>
    <w:p w14:paraId="0B34F9E1" w14:textId="77777777" w:rsidR="00653E31" w:rsidRDefault="00CA1F6A" w:rsidP="00653E31">
      <w:pPr>
        <w:spacing w:after="120"/>
      </w:pPr>
      <w:r>
        <w:t>The use of b</w:t>
      </w:r>
      <w:r w:rsidR="006B0B1F" w:rsidRPr="00E57BF7">
        <w:t xml:space="preserve">rokerage </w:t>
      </w:r>
      <w:r>
        <w:t xml:space="preserve">funds </w:t>
      </w:r>
      <w:r w:rsidR="00116CDD">
        <w:t>is</w:t>
      </w:r>
      <w:r w:rsidR="006B0B1F" w:rsidRPr="00E57BF7">
        <w:t xml:space="preserve"> not the first or only service provided to the child/family.</w:t>
      </w:r>
    </w:p>
    <w:p w14:paraId="6FC2A383" w14:textId="77777777" w:rsidR="00653E31" w:rsidRDefault="00653E31" w:rsidP="00653E31">
      <w:pPr>
        <w:spacing w:after="120"/>
        <w:rPr>
          <w:rFonts w:eastAsiaTheme="majorEastAsia" w:cstheme="majorBidi"/>
          <w:b/>
          <w:bCs/>
          <w:color w:val="000000" w:themeColor="text1"/>
          <w:sz w:val="24"/>
        </w:rPr>
      </w:pPr>
      <w:r w:rsidRPr="00653E31">
        <w:rPr>
          <w:b/>
          <w:bCs/>
        </w:rPr>
        <w:t>2.4</w:t>
      </w:r>
      <w:r>
        <w:tab/>
      </w:r>
      <w:r w:rsidR="006B0B1F" w:rsidRPr="00653E31">
        <w:rPr>
          <w:rFonts w:eastAsiaTheme="majorEastAsia" w:cstheme="majorBidi"/>
          <w:b/>
          <w:bCs/>
          <w:color w:val="000000" w:themeColor="text1"/>
          <w:sz w:val="24"/>
        </w:rPr>
        <w:t>Avoid duplication of Service Provision</w:t>
      </w:r>
    </w:p>
    <w:p w14:paraId="17B6E002" w14:textId="77777777" w:rsidR="001416BE" w:rsidRDefault="006B0B1F" w:rsidP="00653E31">
      <w:pPr>
        <w:spacing w:after="120"/>
      </w:pPr>
      <w:r w:rsidRPr="00E57BF7">
        <w:t>Brokerage funds are used to purchase goods, services or activities only when</w:t>
      </w:r>
      <w:r w:rsidR="00653E31">
        <w:t xml:space="preserve"> </w:t>
      </w:r>
      <w:r w:rsidR="00116CDD" w:rsidRPr="00E57BF7">
        <w:t>existing services</w:t>
      </w:r>
      <w:r w:rsidR="00116CDD">
        <w:t>,</w:t>
      </w:r>
      <w:r w:rsidRPr="00E57BF7">
        <w:t xml:space="preserve"> support</w:t>
      </w:r>
      <w:r w:rsidR="00116CDD">
        <w:t>s</w:t>
      </w:r>
      <w:r w:rsidRPr="00E57BF7">
        <w:t xml:space="preserve"> or resources cannot meet the identified needs of the client or</w:t>
      </w:r>
      <w:r w:rsidR="00116CDD">
        <w:t xml:space="preserve"> </w:t>
      </w:r>
      <w:r w:rsidRPr="00E57BF7">
        <w:t>are not readily accessible</w:t>
      </w:r>
      <w:r w:rsidR="00116CDD">
        <w:t>.</w:t>
      </w:r>
    </w:p>
    <w:p w14:paraId="3C81FCC9" w14:textId="4E645770" w:rsidR="00653E31" w:rsidRDefault="00C560C9" w:rsidP="00653E31">
      <w:pPr>
        <w:spacing w:after="120"/>
      </w:pPr>
      <w:r>
        <w:lastRenderedPageBreak/>
        <w:t xml:space="preserve">Where a child or young person is subject to an Intervention with Parental Agreement or Supervision Order </w:t>
      </w:r>
      <w:r>
        <w:rPr>
          <w:szCs w:val="22"/>
        </w:rPr>
        <w:t>and additional support is required for the child or young person to remain safely at home, the</w:t>
      </w:r>
      <w:r>
        <w:t xml:space="preserve"> relevant </w:t>
      </w:r>
      <w:r w:rsidRPr="00E57BF7">
        <w:t>services</w:t>
      </w:r>
      <w:r>
        <w:t>,</w:t>
      </w:r>
      <w:r w:rsidRPr="00E57BF7">
        <w:t xml:space="preserve"> support</w:t>
      </w:r>
      <w:r>
        <w:t>s</w:t>
      </w:r>
      <w:r w:rsidRPr="00E57BF7">
        <w:t xml:space="preserve"> </w:t>
      </w:r>
      <w:r>
        <w:t>and/</w:t>
      </w:r>
      <w:r w:rsidRPr="00E57BF7">
        <w:t xml:space="preserve">or resources </w:t>
      </w:r>
      <w:r w:rsidR="00585796">
        <w:t xml:space="preserve">for the child and family </w:t>
      </w:r>
      <w:r>
        <w:t>may also be provided through the use of Child Related Costs (CRC)</w:t>
      </w:r>
      <w:r w:rsidR="00585796">
        <w:rPr>
          <w:szCs w:val="22"/>
        </w:rPr>
        <w:t xml:space="preserve"> </w:t>
      </w:r>
      <w:r w:rsidR="001416BE">
        <w:rPr>
          <w:szCs w:val="22"/>
        </w:rPr>
        <w:t>(</w:t>
      </w:r>
      <w:hyperlink r:id="rId8" w:history="1">
        <w:r w:rsidRPr="00C560C9">
          <w:rPr>
            <w:rStyle w:val="Hyperlink"/>
            <w:szCs w:val="22"/>
          </w:rPr>
          <w:t>https://csywintranet.root.internal/policies-procedures/service-delivery/child-safety/child-related-costs</w:t>
        </w:r>
      </w:hyperlink>
      <w:r w:rsidR="001416BE">
        <w:rPr>
          <w:szCs w:val="22"/>
        </w:rPr>
        <w:t>).</w:t>
      </w:r>
      <w:r>
        <w:rPr>
          <w:szCs w:val="22"/>
        </w:rPr>
        <w:t xml:space="preserve"> This option should be pursued before considering the </w:t>
      </w:r>
      <w:r w:rsidR="001D26D6">
        <w:rPr>
          <w:szCs w:val="22"/>
        </w:rPr>
        <w:t>use of brokerage funds.</w:t>
      </w:r>
    </w:p>
    <w:p w14:paraId="7DEBD73E" w14:textId="77777777" w:rsidR="006B0B1F" w:rsidRPr="000332B5" w:rsidRDefault="006B0B1F" w:rsidP="006B0B1F">
      <w:pPr>
        <w:keepNext/>
        <w:keepLines/>
        <w:spacing w:before="120" w:after="120" w:line="240" w:lineRule="auto"/>
        <w:outlineLvl w:val="1"/>
        <w:rPr>
          <w:rFonts w:eastAsiaTheme="majorEastAsia" w:cstheme="majorBidi"/>
          <w:b/>
          <w:bCs/>
          <w:color w:val="000000" w:themeColor="text1"/>
          <w:sz w:val="24"/>
        </w:rPr>
      </w:pPr>
      <w:r w:rsidRPr="000332B5">
        <w:rPr>
          <w:rFonts w:eastAsiaTheme="majorEastAsia" w:cstheme="majorBidi"/>
          <w:b/>
          <w:bCs/>
          <w:color w:val="000000" w:themeColor="text1"/>
          <w:sz w:val="24"/>
        </w:rPr>
        <w:t>2.5</w:t>
      </w:r>
      <w:r w:rsidRPr="000332B5">
        <w:rPr>
          <w:rFonts w:eastAsiaTheme="majorEastAsia" w:cstheme="majorBidi"/>
          <w:b/>
          <w:bCs/>
          <w:color w:val="000000" w:themeColor="text1"/>
          <w:sz w:val="24"/>
        </w:rPr>
        <w:tab/>
        <w:t>Value for Money</w:t>
      </w:r>
    </w:p>
    <w:p w14:paraId="5BAD7336" w14:textId="7E16D342" w:rsidR="006B0B1F" w:rsidRPr="00E57BF7" w:rsidRDefault="006B0B1F" w:rsidP="006B0B1F">
      <w:pPr>
        <w:keepNext/>
        <w:keepLines/>
        <w:spacing w:before="120" w:after="120" w:line="240" w:lineRule="auto"/>
        <w:outlineLvl w:val="1"/>
      </w:pPr>
      <w:r w:rsidRPr="00E57BF7">
        <w:t>Interventions purchased with brokerage funds are to be as cost effective as possible. When deciding to commit brokerage funds, consideration is given to whether the intended expenditure is the best use of resources to meet the identified child/family</w:t>
      </w:r>
      <w:r w:rsidR="00653E31">
        <w:t>’s</w:t>
      </w:r>
      <w:r w:rsidRPr="00E57BF7">
        <w:t xml:space="preserve"> </w:t>
      </w:r>
      <w:r w:rsidR="00653E31" w:rsidRPr="00653E31">
        <w:t>case plan goals.</w:t>
      </w:r>
    </w:p>
    <w:p w14:paraId="2829CB0A" w14:textId="6213A2B0" w:rsidR="006B0B1F" w:rsidRDefault="006B0B1F" w:rsidP="006B0B1F">
      <w:pPr>
        <w:keepNext/>
        <w:keepLines/>
        <w:spacing w:before="120" w:after="120" w:line="240" w:lineRule="auto"/>
        <w:outlineLvl w:val="1"/>
      </w:pPr>
      <w:r w:rsidRPr="00E57BF7">
        <w:t>There is no cap on the amount of brokerage fund</w:t>
      </w:r>
      <w:r w:rsidR="00653E31">
        <w:t>s</w:t>
      </w:r>
      <w:r w:rsidRPr="00E57BF7">
        <w:t xml:space="preserve"> any one family may receive</w:t>
      </w:r>
      <w:r w:rsidR="00CA1F6A">
        <w:t>. S</w:t>
      </w:r>
      <w:r w:rsidRPr="00E57BF7">
        <w:t>ervices are expected to prioritise families and their needs in an equitable and sustainable manner.</w:t>
      </w:r>
    </w:p>
    <w:p w14:paraId="665F121A" w14:textId="77777777" w:rsidR="006B0B1F" w:rsidRPr="00E57BF7" w:rsidRDefault="006B0B1F" w:rsidP="00ED7D23">
      <w:pPr>
        <w:keepNext/>
        <w:keepLines/>
        <w:spacing w:after="120" w:line="240" w:lineRule="auto"/>
        <w:outlineLvl w:val="1"/>
      </w:pPr>
    </w:p>
    <w:p w14:paraId="6846569F" w14:textId="77777777" w:rsidR="006B0B1F" w:rsidRDefault="006B0B1F" w:rsidP="006B0B1F">
      <w:pPr>
        <w:keepNext/>
        <w:keepLines/>
        <w:spacing w:before="120" w:after="120" w:line="240" w:lineRule="auto"/>
        <w:outlineLvl w:val="1"/>
        <w:rPr>
          <w:rFonts w:eastAsiaTheme="majorEastAsia" w:cstheme="majorBidi"/>
          <w:b/>
          <w:bCs/>
          <w:color w:val="000000" w:themeColor="text1"/>
          <w:sz w:val="28"/>
          <w:szCs w:val="26"/>
        </w:rPr>
      </w:pPr>
      <w:r>
        <w:rPr>
          <w:rFonts w:eastAsiaTheme="majorEastAsia" w:cstheme="majorBidi"/>
          <w:b/>
          <w:bCs/>
          <w:color w:val="000000" w:themeColor="text1"/>
          <w:sz w:val="28"/>
          <w:szCs w:val="26"/>
        </w:rPr>
        <w:t>3</w:t>
      </w:r>
      <w:r w:rsidRPr="00E57BF7">
        <w:rPr>
          <w:rFonts w:eastAsiaTheme="majorEastAsia" w:cstheme="majorBidi"/>
          <w:b/>
          <w:bCs/>
          <w:color w:val="000000" w:themeColor="text1"/>
          <w:sz w:val="28"/>
          <w:szCs w:val="26"/>
        </w:rPr>
        <w:t xml:space="preserve">. </w:t>
      </w:r>
      <w:r w:rsidRPr="000332B5">
        <w:rPr>
          <w:rFonts w:eastAsiaTheme="majorEastAsia" w:cstheme="majorBidi"/>
          <w:b/>
          <w:bCs/>
          <w:color w:val="000000" w:themeColor="text1"/>
          <w:sz w:val="28"/>
          <w:szCs w:val="26"/>
        </w:rPr>
        <w:t>Types of Expenditure</w:t>
      </w:r>
    </w:p>
    <w:p w14:paraId="6D75F02B" w14:textId="77777777" w:rsidR="006B0B1F" w:rsidRDefault="006B0B1F" w:rsidP="006B0B1F">
      <w:r>
        <w:t>Prior to using brokerage funds to purchase support services or resources, alternative options should be explored that may be less expensive or free.</w:t>
      </w:r>
    </w:p>
    <w:p w14:paraId="608B9CBA" w14:textId="77777777" w:rsidR="006B0B1F" w:rsidRDefault="006B0B1F" w:rsidP="006B0B1F">
      <w:r>
        <w:t xml:space="preserve">Brokerage funds should purchase supports, services and resources on a short term or episodic basis. The spending of brokerage funds must be clearly linked to a family’s case plan. </w:t>
      </w:r>
    </w:p>
    <w:p w14:paraId="716AB2DD" w14:textId="11B369F0" w:rsidR="000332B5" w:rsidRDefault="000332B5" w:rsidP="000332B5">
      <w:r>
        <w:t>Brokerage fund</w:t>
      </w:r>
      <w:r w:rsidR="00CA1F6A">
        <w:t>s</w:t>
      </w:r>
      <w:r>
        <w:t xml:space="preserve"> </w:t>
      </w:r>
      <w:r w:rsidR="00734B04">
        <w:t>may</w:t>
      </w:r>
      <w:r>
        <w:t xml:space="preserve"> be pooled to provide services for several families, where the same need is identified e.g</w:t>
      </w:r>
      <w:r w:rsidR="00635FAC">
        <w:t>.</w:t>
      </w:r>
      <w:r>
        <w:t xml:space="preserve"> purchasing specific training such as Circle of Security or Parenting under Pressure. Alternatively, brokerage fund</w:t>
      </w:r>
      <w:r w:rsidR="00CA1F6A">
        <w:t>s</w:t>
      </w:r>
      <w:r>
        <w:t xml:space="preserve"> could be used to </w:t>
      </w:r>
      <w:r w:rsidR="0063474E">
        <w:t xml:space="preserve">fund the training of </w:t>
      </w:r>
      <w:r>
        <w:t xml:space="preserve">a staff member, </w:t>
      </w:r>
      <w:r w:rsidR="0063474E">
        <w:t xml:space="preserve">to then provide </w:t>
      </w:r>
      <w:r>
        <w:t xml:space="preserve">in-house training </w:t>
      </w:r>
      <w:r w:rsidR="00232798">
        <w:t xml:space="preserve">for </w:t>
      </w:r>
      <w:r>
        <w:t xml:space="preserve">families on a regular basis </w:t>
      </w:r>
      <w:r w:rsidR="0063474E">
        <w:t xml:space="preserve">and avoid the need for an </w:t>
      </w:r>
      <w:r>
        <w:t>external provider.</w:t>
      </w:r>
    </w:p>
    <w:p w14:paraId="255CB48F" w14:textId="2AF659EC" w:rsidR="000332B5" w:rsidRPr="000332B5" w:rsidRDefault="000332B5" w:rsidP="00CA1F6A">
      <w:pPr>
        <w:spacing w:after="120"/>
        <w:rPr>
          <w:b/>
          <w:bCs/>
        </w:rPr>
      </w:pPr>
      <w:r w:rsidRPr="000332B5">
        <w:rPr>
          <w:b/>
          <w:bCs/>
        </w:rPr>
        <w:t>Examples of support</w:t>
      </w:r>
      <w:r>
        <w:rPr>
          <w:b/>
          <w:bCs/>
        </w:rPr>
        <w:t xml:space="preserve"> options</w:t>
      </w:r>
      <w:r w:rsidRPr="000332B5">
        <w:rPr>
          <w:b/>
          <w:bCs/>
        </w:rPr>
        <w:t xml:space="preserve"> funded through brokerage:</w:t>
      </w:r>
    </w:p>
    <w:p w14:paraId="7087978E" w14:textId="19399F0E" w:rsidR="000332B5" w:rsidRDefault="000332B5" w:rsidP="00ED7D23">
      <w:pPr>
        <w:pStyle w:val="ListParagraph"/>
        <w:numPr>
          <w:ilvl w:val="0"/>
          <w:numId w:val="1"/>
        </w:numPr>
        <w:spacing w:after="80"/>
        <w:ind w:left="425" w:hanging="357"/>
        <w:contextualSpacing w:val="0"/>
      </w:pPr>
      <w:r w:rsidRPr="000332B5">
        <w:rPr>
          <w:b/>
          <w:bCs/>
        </w:rPr>
        <w:t>Purchase of goods or services</w:t>
      </w:r>
      <w:r>
        <w:t xml:space="preserve"> to ensure the home is safe. If the property is owned by Department of Housing and Public Works (DPHW) the service must seek the permission of the Department of Housing and Public Works before commencing any upgrades to the premises.</w:t>
      </w:r>
    </w:p>
    <w:p w14:paraId="1CCE18FA" w14:textId="5297A1C5" w:rsidR="000332B5" w:rsidRDefault="000332B5" w:rsidP="00ED7D23">
      <w:pPr>
        <w:pStyle w:val="ListParagraph"/>
        <w:numPr>
          <w:ilvl w:val="0"/>
          <w:numId w:val="1"/>
        </w:numPr>
        <w:spacing w:after="80"/>
        <w:ind w:left="425" w:hanging="357"/>
        <w:contextualSpacing w:val="0"/>
      </w:pPr>
      <w:r w:rsidRPr="000332B5">
        <w:rPr>
          <w:b/>
          <w:bCs/>
        </w:rPr>
        <w:t>Purchase of whitegoods</w:t>
      </w:r>
      <w:r>
        <w:t xml:space="preserve"> such as a washing machine or refrigerator.</w:t>
      </w:r>
    </w:p>
    <w:p w14:paraId="29A0E1FF" w14:textId="1E25D98F" w:rsidR="000332B5" w:rsidRDefault="000332B5" w:rsidP="00ED7D23">
      <w:pPr>
        <w:pStyle w:val="ListParagraph"/>
        <w:numPr>
          <w:ilvl w:val="0"/>
          <w:numId w:val="1"/>
        </w:numPr>
        <w:spacing w:after="80"/>
        <w:ind w:left="425" w:hanging="357"/>
        <w:contextualSpacing w:val="0"/>
      </w:pPr>
      <w:r w:rsidRPr="000332B5">
        <w:rPr>
          <w:b/>
          <w:bCs/>
        </w:rPr>
        <w:t>Purchase of household items</w:t>
      </w:r>
      <w:r>
        <w:t xml:space="preserve"> such as bedding/linen.</w:t>
      </w:r>
    </w:p>
    <w:p w14:paraId="1C0ACFCD" w14:textId="2D18185E" w:rsidR="000332B5" w:rsidRDefault="000332B5" w:rsidP="00ED7D23">
      <w:pPr>
        <w:pStyle w:val="ListParagraph"/>
        <w:numPr>
          <w:ilvl w:val="0"/>
          <w:numId w:val="1"/>
        </w:numPr>
        <w:spacing w:after="80"/>
        <w:ind w:left="425" w:hanging="357"/>
        <w:contextualSpacing w:val="0"/>
      </w:pPr>
      <w:r w:rsidRPr="000332B5">
        <w:rPr>
          <w:b/>
          <w:bCs/>
        </w:rPr>
        <w:t>Timely access to</w:t>
      </w:r>
      <w:r>
        <w:t xml:space="preserve"> initial dental, audio, speech and health assessments.</w:t>
      </w:r>
    </w:p>
    <w:p w14:paraId="65D2AEFB" w14:textId="44C4C873" w:rsidR="000332B5" w:rsidRDefault="000332B5" w:rsidP="00ED7D23">
      <w:pPr>
        <w:pStyle w:val="ListParagraph"/>
        <w:numPr>
          <w:ilvl w:val="0"/>
          <w:numId w:val="1"/>
        </w:numPr>
        <w:spacing w:after="80"/>
        <w:ind w:left="425" w:hanging="357"/>
        <w:contextualSpacing w:val="0"/>
      </w:pPr>
      <w:r w:rsidRPr="000332B5">
        <w:rPr>
          <w:b/>
          <w:bCs/>
        </w:rPr>
        <w:t>School/educational expenses and supplies</w:t>
      </w:r>
      <w:r>
        <w:t xml:space="preserve"> such as </w:t>
      </w:r>
      <w:r w:rsidR="00635FAC">
        <w:t xml:space="preserve">the </w:t>
      </w:r>
      <w:r>
        <w:t>student resource scheme for state schools, uniforms, books and excursions.</w:t>
      </w:r>
    </w:p>
    <w:p w14:paraId="5E8FC646" w14:textId="41F350C2" w:rsidR="000332B5" w:rsidRDefault="000332B5" w:rsidP="00ED7D23">
      <w:pPr>
        <w:pStyle w:val="ListParagraph"/>
        <w:numPr>
          <w:ilvl w:val="0"/>
          <w:numId w:val="1"/>
        </w:numPr>
        <w:spacing w:after="80"/>
        <w:ind w:left="425" w:hanging="357"/>
        <w:contextualSpacing w:val="0"/>
      </w:pPr>
      <w:r w:rsidRPr="000332B5">
        <w:rPr>
          <w:b/>
          <w:bCs/>
        </w:rPr>
        <w:t>Accommodation</w:t>
      </w:r>
      <w:r w:rsidR="00CA1F6A">
        <w:t>:</w:t>
      </w:r>
      <w:r>
        <w:t xml:space="preserve"> one off payment to help secure accommodation due to financial crisis or domestic and family violence.</w:t>
      </w:r>
    </w:p>
    <w:p w14:paraId="4CB64545" w14:textId="1A9F99E7" w:rsidR="000332B5" w:rsidRDefault="000332B5" w:rsidP="00ED7D23">
      <w:pPr>
        <w:pStyle w:val="ListParagraph"/>
        <w:numPr>
          <w:ilvl w:val="0"/>
          <w:numId w:val="1"/>
        </w:numPr>
        <w:spacing w:after="80"/>
        <w:ind w:left="425" w:hanging="357"/>
        <w:contextualSpacing w:val="0"/>
      </w:pPr>
      <w:r w:rsidRPr="000332B5">
        <w:rPr>
          <w:b/>
          <w:bCs/>
        </w:rPr>
        <w:t>Child Care</w:t>
      </w:r>
      <w:r w:rsidR="00CA1F6A">
        <w:t xml:space="preserve">: </w:t>
      </w:r>
      <w:r>
        <w:t xml:space="preserve">where the parent(s) is attending counselling or </w:t>
      </w:r>
      <w:r w:rsidR="00CA1F6A">
        <w:t xml:space="preserve">a </w:t>
      </w:r>
      <w:r>
        <w:t xml:space="preserve">parenting course for a finite period </w:t>
      </w:r>
      <w:r w:rsidR="00734B04">
        <w:t>i.e.</w:t>
      </w:r>
      <w:r>
        <w:t xml:space="preserve"> 6 weeks; brokerage funds </w:t>
      </w:r>
      <w:r w:rsidR="00734B04">
        <w:t>may</w:t>
      </w:r>
      <w:r>
        <w:t xml:space="preserve"> be used to meet the cost of ordinary childcare.</w:t>
      </w:r>
    </w:p>
    <w:p w14:paraId="567B5EE3" w14:textId="5C52AE2F" w:rsidR="00E57BF7" w:rsidRDefault="000332B5" w:rsidP="00ED7D23">
      <w:pPr>
        <w:pStyle w:val="ListParagraph"/>
        <w:numPr>
          <w:ilvl w:val="0"/>
          <w:numId w:val="1"/>
        </w:numPr>
        <w:spacing w:after="80"/>
        <w:ind w:left="425" w:hanging="357"/>
        <w:contextualSpacing w:val="0"/>
      </w:pPr>
      <w:r w:rsidRPr="000332B5">
        <w:rPr>
          <w:b/>
          <w:bCs/>
        </w:rPr>
        <w:t>House cleaning</w:t>
      </w:r>
      <w:r w:rsidR="004C4E90">
        <w:t xml:space="preserve">: </w:t>
      </w:r>
      <w:r>
        <w:t>one off payment to clean the house and remove excess rubbish.</w:t>
      </w:r>
    </w:p>
    <w:p w14:paraId="6AF12793" w14:textId="4C4AAFD4" w:rsidR="00653E31" w:rsidRDefault="00653E31" w:rsidP="00997005">
      <w:pPr>
        <w:spacing w:after="120"/>
      </w:pPr>
    </w:p>
    <w:p w14:paraId="7348CF35" w14:textId="25B9A6D3" w:rsidR="000332B5" w:rsidRDefault="000332B5" w:rsidP="000332B5">
      <w:pPr>
        <w:spacing w:after="120"/>
        <w:rPr>
          <w:rFonts w:eastAsiaTheme="majorEastAsia" w:cstheme="majorBidi"/>
          <w:b/>
          <w:bCs/>
          <w:color w:val="000000" w:themeColor="text1"/>
          <w:sz w:val="28"/>
          <w:szCs w:val="26"/>
        </w:rPr>
      </w:pPr>
      <w:r>
        <w:rPr>
          <w:rFonts w:eastAsiaTheme="majorEastAsia" w:cstheme="majorBidi"/>
          <w:b/>
          <w:bCs/>
          <w:color w:val="000000" w:themeColor="text1"/>
          <w:sz w:val="28"/>
          <w:szCs w:val="26"/>
        </w:rPr>
        <w:lastRenderedPageBreak/>
        <w:t>4</w:t>
      </w:r>
      <w:r w:rsidRPr="00E57BF7">
        <w:rPr>
          <w:rFonts w:eastAsiaTheme="majorEastAsia" w:cstheme="majorBidi"/>
          <w:b/>
          <w:bCs/>
          <w:color w:val="000000" w:themeColor="text1"/>
          <w:sz w:val="28"/>
          <w:szCs w:val="26"/>
        </w:rPr>
        <w:t xml:space="preserve">. </w:t>
      </w:r>
      <w:r>
        <w:rPr>
          <w:rFonts w:eastAsiaTheme="majorEastAsia" w:cstheme="majorBidi"/>
          <w:b/>
          <w:bCs/>
          <w:color w:val="000000" w:themeColor="text1"/>
          <w:sz w:val="28"/>
          <w:szCs w:val="26"/>
        </w:rPr>
        <w:t>Limits on</w:t>
      </w:r>
      <w:r w:rsidRPr="000332B5">
        <w:rPr>
          <w:rFonts w:eastAsiaTheme="majorEastAsia" w:cstheme="majorBidi"/>
          <w:b/>
          <w:bCs/>
          <w:color w:val="000000" w:themeColor="text1"/>
          <w:sz w:val="28"/>
          <w:szCs w:val="26"/>
        </w:rPr>
        <w:t xml:space="preserve"> Expenditure</w:t>
      </w:r>
    </w:p>
    <w:p w14:paraId="2487B1D3" w14:textId="1B487C5F" w:rsidR="00FA5B6B" w:rsidRDefault="000332B5" w:rsidP="000451FB">
      <w:pPr>
        <w:pStyle w:val="ListParagraph"/>
        <w:numPr>
          <w:ilvl w:val="0"/>
          <w:numId w:val="5"/>
        </w:numPr>
        <w:spacing w:after="120"/>
        <w:ind w:left="426"/>
        <w:contextualSpacing w:val="0"/>
      </w:pPr>
      <w:r w:rsidRPr="000332B5">
        <w:t xml:space="preserve">The amount of funds allocated to brokerage from the service budget must not exceed </w:t>
      </w:r>
      <w:r w:rsidRPr="00FA5B6B">
        <w:rPr>
          <w:b/>
          <w:bCs/>
        </w:rPr>
        <w:t>5%</w:t>
      </w:r>
      <w:r w:rsidRPr="000332B5">
        <w:t xml:space="preserve"> of the total funding. The service will also be responsible for ensuring that funds have been expended for their intended purpose and develop processes to identify, manage and account separately for expenditure.</w:t>
      </w:r>
    </w:p>
    <w:p w14:paraId="66975E76" w14:textId="77777777" w:rsidR="00FA5B6B" w:rsidRDefault="000332B5" w:rsidP="000451FB">
      <w:pPr>
        <w:pStyle w:val="ListParagraph"/>
        <w:numPr>
          <w:ilvl w:val="0"/>
          <w:numId w:val="5"/>
        </w:numPr>
        <w:spacing w:after="120"/>
        <w:ind w:left="426"/>
        <w:contextualSpacing w:val="0"/>
      </w:pPr>
      <w:r w:rsidRPr="000332B5">
        <w:t>Brokerage funds are not to be used to reimburse a worker already employed within the service.</w:t>
      </w:r>
    </w:p>
    <w:p w14:paraId="2D67C92C" w14:textId="3F290F3A" w:rsidR="00FA5B6B" w:rsidRDefault="000332B5" w:rsidP="000451FB">
      <w:pPr>
        <w:pStyle w:val="ListParagraph"/>
        <w:numPr>
          <w:ilvl w:val="0"/>
          <w:numId w:val="5"/>
        </w:numPr>
        <w:spacing w:after="120"/>
        <w:ind w:left="426"/>
        <w:contextualSpacing w:val="0"/>
      </w:pPr>
      <w:r w:rsidRPr="000332B5">
        <w:t xml:space="preserve">Brokerage </w:t>
      </w:r>
      <w:r w:rsidR="00335FAC">
        <w:t xml:space="preserve">funds </w:t>
      </w:r>
      <w:r w:rsidRPr="000332B5">
        <w:t xml:space="preserve">should be paid directly by the service on behalf of the family for goods and services. Direct cash payments or any other form of reimbursement to families is not permitted. </w:t>
      </w:r>
    </w:p>
    <w:p w14:paraId="78AE685C" w14:textId="74301182" w:rsidR="00FA5B6B" w:rsidRDefault="000332B5" w:rsidP="000451FB">
      <w:pPr>
        <w:pStyle w:val="ListParagraph"/>
        <w:numPr>
          <w:ilvl w:val="0"/>
          <w:numId w:val="5"/>
        </w:numPr>
        <w:spacing w:after="120"/>
        <w:ind w:left="426"/>
        <w:contextualSpacing w:val="0"/>
      </w:pPr>
      <w:r w:rsidRPr="000332B5">
        <w:t>Brokerage funds are only to be provided in the context of clients’ identified needs and case plan</w:t>
      </w:r>
      <w:r w:rsidR="00635FAC">
        <w:t xml:space="preserve"> goals</w:t>
      </w:r>
      <w:r w:rsidRPr="000332B5">
        <w:t xml:space="preserve">. Case plans must demonstrate the use of brokerage </w:t>
      </w:r>
      <w:r w:rsidR="00335FAC">
        <w:t xml:space="preserve">funds </w:t>
      </w:r>
      <w:r w:rsidRPr="000332B5">
        <w:t>as part of a range of strategies to support the client to address identified needs and achieve goals which lead to case closure.</w:t>
      </w:r>
    </w:p>
    <w:p w14:paraId="5E41C4D7" w14:textId="20ECCACE" w:rsidR="000332B5" w:rsidRPr="000332B5" w:rsidRDefault="000332B5" w:rsidP="000451FB">
      <w:pPr>
        <w:pStyle w:val="ListParagraph"/>
        <w:numPr>
          <w:ilvl w:val="0"/>
          <w:numId w:val="5"/>
        </w:numPr>
        <w:spacing w:after="120"/>
        <w:ind w:left="426"/>
        <w:contextualSpacing w:val="0"/>
      </w:pPr>
      <w:r w:rsidRPr="000332B5">
        <w:t xml:space="preserve">The use of brokerage funds is not to be used as a form of Emergency </w:t>
      </w:r>
      <w:r w:rsidR="00997005">
        <w:t>R</w:t>
      </w:r>
      <w:r w:rsidR="00997005" w:rsidRPr="000332B5">
        <w:t>elief</w:t>
      </w:r>
      <w:r w:rsidRPr="000332B5">
        <w:t>.</w:t>
      </w:r>
    </w:p>
    <w:p w14:paraId="1B6E6D42" w14:textId="085A8B2D" w:rsidR="0084663D" w:rsidRPr="0084663D" w:rsidRDefault="0084663D" w:rsidP="00997005">
      <w:pPr>
        <w:spacing w:after="120"/>
      </w:pPr>
    </w:p>
    <w:sectPr w:rsidR="0084663D" w:rsidRPr="0084663D" w:rsidSect="005C092E">
      <w:headerReference w:type="default" r:id="rId9"/>
      <w:footerReference w:type="even" r:id="rId10"/>
      <w:footerReference w:type="default" r:id="rId11"/>
      <w:headerReference w:type="first" r:id="rId12"/>
      <w:pgSz w:w="11900" w:h="16840"/>
      <w:pgMar w:top="1701"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EBD91" w14:textId="77777777" w:rsidR="00027C7D" w:rsidRDefault="00027C7D" w:rsidP="005F0FB2">
      <w:pPr>
        <w:spacing w:after="0" w:line="240" w:lineRule="auto"/>
      </w:pPr>
      <w:r>
        <w:separator/>
      </w:r>
    </w:p>
  </w:endnote>
  <w:endnote w:type="continuationSeparator" w:id="0">
    <w:p w14:paraId="212CFDE7" w14:textId="77777777" w:rsidR="00027C7D" w:rsidRDefault="00027C7D" w:rsidP="005F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87D01" w14:textId="77777777" w:rsidR="005C092E" w:rsidRDefault="005C092E" w:rsidP="00DD01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707438" w14:textId="77777777" w:rsidR="005C092E" w:rsidRDefault="005C0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D58A1" w14:textId="77777777" w:rsidR="005C092E" w:rsidRDefault="005C092E" w:rsidP="00DD01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2A6A">
      <w:rPr>
        <w:rStyle w:val="PageNumber"/>
        <w:noProof/>
      </w:rPr>
      <w:t>2</w:t>
    </w:r>
    <w:r>
      <w:rPr>
        <w:rStyle w:val="PageNumber"/>
      </w:rPr>
      <w:fldChar w:fldCharType="end"/>
    </w:r>
  </w:p>
  <w:p w14:paraId="193DF76D" w14:textId="77777777" w:rsidR="005C092E" w:rsidRDefault="005C0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89BB2" w14:textId="77777777" w:rsidR="00027C7D" w:rsidRDefault="00027C7D" w:rsidP="005F0FB2">
      <w:pPr>
        <w:spacing w:after="0" w:line="240" w:lineRule="auto"/>
      </w:pPr>
      <w:r>
        <w:separator/>
      </w:r>
    </w:p>
  </w:footnote>
  <w:footnote w:type="continuationSeparator" w:id="0">
    <w:p w14:paraId="0DF6CFF6" w14:textId="77777777" w:rsidR="00027C7D" w:rsidRDefault="00027C7D" w:rsidP="005F0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BDC24" w14:textId="2ED8FE37" w:rsidR="005C092E" w:rsidRPr="00E57BF7" w:rsidRDefault="00E57BF7">
    <w:pPr>
      <w:pStyle w:val="Header"/>
      <w:rPr>
        <w:lang w:val="en-AU"/>
      </w:rPr>
    </w:pPr>
    <w:r>
      <w:rPr>
        <w:lang w:val="en-AU"/>
      </w:rPr>
      <w:t>Tertiary Family Support – Brokerage Fund</w:t>
    </w:r>
    <w:r w:rsidR="008E5712">
      <w:rPr>
        <w:lang w:val="en-AU"/>
      </w:rPr>
      <w:t>s -</w:t>
    </w:r>
    <w:r>
      <w:rPr>
        <w:lang w:val="en-AU"/>
      </w:rPr>
      <w:t xml:space="preserve"> </w:t>
    </w:r>
    <w:r w:rsidRPr="008E5712">
      <w:rPr>
        <w:i/>
        <w:iCs/>
        <w:u w:val="single"/>
        <w:lang w:val="en-AU"/>
      </w:rPr>
      <w:t>Guidelines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FF565" w14:textId="3DC87B83" w:rsidR="005F0FB2" w:rsidRDefault="00F93D21">
    <w:pPr>
      <w:pStyle w:val="Header"/>
    </w:pPr>
    <w:r>
      <w:rPr>
        <w:noProof/>
      </w:rPr>
      <w:drawing>
        <wp:anchor distT="0" distB="0" distL="114300" distR="114300" simplePos="0" relativeHeight="251659264" behindDoc="1" locked="0" layoutInCell="1" allowOverlap="1" wp14:anchorId="4F372795" wp14:editId="15065B32">
          <wp:simplePos x="0" y="0"/>
          <wp:positionH relativeFrom="page">
            <wp:posOffset>9525</wp:posOffset>
          </wp:positionH>
          <wp:positionV relativeFrom="paragraph">
            <wp:posOffset>-438785</wp:posOffset>
          </wp:positionV>
          <wp:extent cx="7599872" cy="10673490"/>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Report Port A4-1.jpg"/>
                  <pic:cNvPicPr/>
                </pic:nvPicPr>
                <pic:blipFill>
                  <a:blip r:embed="rId1"/>
                  <a:stretch>
                    <a:fillRect/>
                  </a:stretch>
                </pic:blipFill>
                <pic:spPr>
                  <a:xfrm>
                    <a:off x="0" y="0"/>
                    <a:ext cx="7599872" cy="106734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619C4"/>
    <w:multiLevelType w:val="multilevel"/>
    <w:tmpl w:val="6DA4BA4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0D7F03"/>
    <w:multiLevelType w:val="hybridMultilevel"/>
    <w:tmpl w:val="BD867618"/>
    <w:lvl w:ilvl="0" w:tplc="0C09001B">
      <w:start w:val="1"/>
      <w:numFmt w:val="lowerRoman"/>
      <w:lvlText w:val="%1."/>
      <w:lvlJc w:val="righ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C64B10"/>
    <w:multiLevelType w:val="hybridMultilevel"/>
    <w:tmpl w:val="F2F8D97C"/>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90F42C3"/>
    <w:multiLevelType w:val="multilevel"/>
    <w:tmpl w:val="01F0D36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9D076ED"/>
    <w:multiLevelType w:val="hybridMultilevel"/>
    <w:tmpl w:val="73DAD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CEF7D0A"/>
    <w:multiLevelType w:val="hybridMultilevel"/>
    <w:tmpl w:val="7868B66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20F33C4"/>
    <w:multiLevelType w:val="hybridMultilevel"/>
    <w:tmpl w:val="3716A06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02F7D55"/>
    <w:multiLevelType w:val="hybridMultilevel"/>
    <w:tmpl w:val="E814E1C6"/>
    <w:lvl w:ilvl="0" w:tplc="0C090001">
      <w:start w:val="1"/>
      <w:numFmt w:val="bullet"/>
      <w:lvlText w:val=""/>
      <w:lvlJc w:val="left"/>
      <w:pPr>
        <w:ind w:left="720" w:hanging="360"/>
      </w:pPr>
      <w:rPr>
        <w:rFonts w:ascii="Symbol" w:hAnsi="Symbol" w:hint="default"/>
      </w:rPr>
    </w:lvl>
    <w:lvl w:ilvl="1" w:tplc="004A6E3C">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DA57CDC"/>
    <w:multiLevelType w:val="hybridMultilevel"/>
    <w:tmpl w:val="9806CAAE"/>
    <w:lvl w:ilvl="0" w:tplc="0C09001B">
      <w:start w:val="1"/>
      <w:numFmt w:val="lowerRoman"/>
      <w:lvlText w:val="%1."/>
      <w:lvlJc w:val="righ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8"/>
  </w:num>
  <w:num w:numId="5">
    <w:abstractNumId w:val="5"/>
  </w:num>
  <w:num w:numId="6">
    <w:abstractNumId w:val="1"/>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B2"/>
    <w:rsid w:val="0001656C"/>
    <w:rsid w:val="0001685F"/>
    <w:rsid w:val="00027C7D"/>
    <w:rsid w:val="000332B5"/>
    <w:rsid w:val="000408C8"/>
    <w:rsid w:val="000451FB"/>
    <w:rsid w:val="0006735C"/>
    <w:rsid w:val="000B78D4"/>
    <w:rsid w:val="00116CDD"/>
    <w:rsid w:val="001416BE"/>
    <w:rsid w:val="00165363"/>
    <w:rsid w:val="001D26D6"/>
    <w:rsid w:val="001F3933"/>
    <w:rsid w:val="00204A48"/>
    <w:rsid w:val="00232798"/>
    <w:rsid w:val="00335FAC"/>
    <w:rsid w:val="00356BBE"/>
    <w:rsid w:val="0037685B"/>
    <w:rsid w:val="00377AC5"/>
    <w:rsid w:val="00405BD0"/>
    <w:rsid w:val="0044428C"/>
    <w:rsid w:val="00472A6A"/>
    <w:rsid w:val="0049492B"/>
    <w:rsid w:val="004C4E90"/>
    <w:rsid w:val="004E2563"/>
    <w:rsid w:val="00540124"/>
    <w:rsid w:val="00585796"/>
    <w:rsid w:val="005C092E"/>
    <w:rsid w:val="005F0FB2"/>
    <w:rsid w:val="0063474E"/>
    <w:rsid w:val="00635FAC"/>
    <w:rsid w:val="00653E31"/>
    <w:rsid w:val="00690604"/>
    <w:rsid w:val="006B0B1F"/>
    <w:rsid w:val="00734B04"/>
    <w:rsid w:val="0074605F"/>
    <w:rsid w:val="007D34DE"/>
    <w:rsid w:val="007F1888"/>
    <w:rsid w:val="0084663D"/>
    <w:rsid w:val="008D5F68"/>
    <w:rsid w:val="008E5712"/>
    <w:rsid w:val="00997005"/>
    <w:rsid w:val="009A7E22"/>
    <w:rsid w:val="00A257EC"/>
    <w:rsid w:val="00A47BC0"/>
    <w:rsid w:val="00A85962"/>
    <w:rsid w:val="00AA07D2"/>
    <w:rsid w:val="00BE0FEE"/>
    <w:rsid w:val="00BE6E10"/>
    <w:rsid w:val="00BF1823"/>
    <w:rsid w:val="00C560C9"/>
    <w:rsid w:val="00CA1F6A"/>
    <w:rsid w:val="00CE065B"/>
    <w:rsid w:val="00CF5A79"/>
    <w:rsid w:val="00E57BF7"/>
    <w:rsid w:val="00ED7D23"/>
    <w:rsid w:val="00EE2F04"/>
    <w:rsid w:val="00F378EA"/>
    <w:rsid w:val="00F45685"/>
    <w:rsid w:val="00F93D21"/>
    <w:rsid w:val="00FA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EC41828"/>
  <w14:defaultImageDpi w14:val="300"/>
  <w15:docId w15:val="{4F1CF7DF-C528-437B-B06B-98DA2421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BF7"/>
    <w:pPr>
      <w:spacing w:after="200" w:line="280" w:lineRule="exact"/>
    </w:pPr>
    <w:rPr>
      <w:rFonts w:ascii="Arial" w:hAnsi="Arial"/>
      <w:sz w:val="22"/>
    </w:rPr>
  </w:style>
  <w:style w:type="paragraph" w:styleId="Heading1">
    <w:name w:val="heading 1"/>
    <w:basedOn w:val="Normal"/>
    <w:next w:val="Normal"/>
    <w:link w:val="Heading1Char"/>
    <w:uiPriority w:val="9"/>
    <w:qFormat/>
    <w:rsid w:val="005F0FB2"/>
    <w:pPr>
      <w:keepNext/>
      <w:keepLines/>
      <w:spacing w:before="60" w:after="120" w:line="240" w:lineRule="auto"/>
      <w:outlineLvl w:val="0"/>
    </w:pPr>
    <w:rPr>
      <w:rFonts w:eastAsiaTheme="majorEastAsia" w:cstheme="majorBidi"/>
      <w:b/>
      <w:bCs/>
      <w:color w:val="000000" w:themeColor="text1"/>
      <w:sz w:val="32"/>
      <w:szCs w:val="32"/>
    </w:rPr>
  </w:style>
  <w:style w:type="paragraph" w:styleId="Heading2">
    <w:name w:val="heading 2"/>
    <w:basedOn w:val="Normal"/>
    <w:next w:val="Normal"/>
    <w:link w:val="Heading2Char"/>
    <w:uiPriority w:val="9"/>
    <w:unhideWhenUsed/>
    <w:qFormat/>
    <w:rsid w:val="005C092E"/>
    <w:pPr>
      <w:keepNext/>
      <w:keepLines/>
      <w:spacing w:before="120" w:after="0" w:line="240" w:lineRule="auto"/>
      <w:outlineLvl w:val="1"/>
    </w:pPr>
    <w:rPr>
      <w:rFonts w:eastAsiaTheme="majorEastAsia" w:cstheme="majorBidi"/>
      <w:b/>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FB2"/>
    <w:pPr>
      <w:tabs>
        <w:tab w:val="center" w:pos="4320"/>
        <w:tab w:val="right" w:pos="8640"/>
      </w:tabs>
    </w:pPr>
  </w:style>
  <w:style w:type="character" w:customStyle="1" w:styleId="HeaderChar">
    <w:name w:val="Header Char"/>
    <w:basedOn w:val="DefaultParagraphFont"/>
    <w:link w:val="Header"/>
    <w:uiPriority w:val="99"/>
    <w:rsid w:val="005F0FB2"/>
  </w:style>
  <w:style w:type="paragraph" w:styleId="Footer">
    <w:name w:val="footer"/>
    <w:basedOn w:val="Normal"/>
    <w:link w:val="FooterChar"/>
    <w:uiPriority w:val="99"/>
    <w:unhideWhenUsed/>
    <w:rsid w:val="005F0FB2"/>
    <w:pPr>
      <w:tabs>
        <w:tab w:val="center" w:pos="4320"/>
        <w:tab w:val="right" w:pos="8640"/>
      </w:tabs>
    </w:pPr>
  </w:style>
  <w:style w:type="character" w:customStyle="1" w:styleId="FooterChar">
    <w:name w:val="Footer Char"/>
    <w:basedOn w:val="DefaultParagraphFont"/>
    <w:link w:val="Footer"/>
    <w:uiPriority w:val="99"/>
    <w:rsid w:val="005F0FB2"/>
  </w:style>
  <w:style w:type="paragraph" w:styleId="BalloonText">
    <w:name w:val="Balloon Text"/>
    <w:basedOn w:val="Normal"/>
    <w:link w:val="BalloonTextChar"/>
    <w:uiPriority w:val="99"/>
    <w:semiHidden/>
    <w:unhideWhenUsed/>
    <w:rsid w:val="005F0F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0FB2"/>
    <w:rPr>
      <w:rFonts w:ascii="Lucida Grande" w:hAnsi="Lucida Grande" w:cs="Lucida Grande"/>
      <w:sz w:val="18"/>
      <w:szCs w:val="18"/>
    </w:rPr>
  </w:style>
  <w:style w:type="paragraph" w:styleId="Subtitle">
    <w:name w:val="Subtitle"/>
    <w:basedOn w:val="Normal"/>
    <w:next w:val="Normal"/>
    <w:link w:val="SubtitleChar"/>
    <w:uiPriority w:val="11"/>
    <w:qFormat/>
    <w:rsid w:val="005F0FB2"/>
    <w:pPr>
      <w:numPr>
        <w:ilvl w:val="1"/>
      </w:numPr>
      <w:spacing w:line="240" w:lineRule="auto"/>
    </w:pPr>
    <w:rPr>
      <w:rFonts w:eastAsiaTheme="majorEastAsia" w:cstheme="majorBidi"/>
      <w:iCs/>
      <w:color w:val="000000" w:themeColor="text1"/>
      <w:spacing w:val="15"/>
      <w:sz w:val="48"/>
    </w:rPr>
  </w:style>
  <w:style w:type="character" w:customStyle="1" w:styleId="SubtitleChar">
    <w:name w:val="Subtitle Char"/>
    <w:basedOn w:val="DefaultParagraphFont"/>
    <w:link w:val="Subtitle"/>
    <w:uiPriority w:val="11"/>
    <w:rsid w:val="005F0FB2"/>
    <w:rPr>
      <w:rFonts w:ascii="Arial" w:eastAsiaTheme="majorEastAsia" w:hAnsi="Arial" w:cstheme="majorBidi"/>
      <w:iCs/>
      <w:color w:val="000000" w:themeColor="text1"/>
      <w:spacing w:val="15"/>
      <w:sz w:val="48"/>
    </w:rPr>
  </w:style>
  <w:style w:type="character" w:customStyle="1" w:styleId="Heading1Char">
    <w:name w:val="Heading 1 Char"/>
    <w:basedOn w:val="DefaultParagraphFont"/>
    <w:link w:val="Heading1"/>
    <w:uiPriority w:val="9"/>
    <w:rsid w:val="005F0FB2"/>
    <w:rPr>
      <w:rFonts w:ascii="Arial" w:eastAsiaTheme="majorEastAsia" w:hAnsi="Arial" w:cstheme="majorBidi"/>
      <w:b/>
      <w:bCs/>
      <w:color w:val="000000" w:themeColor="text1"/>
      <w:sz w:val="32"/>
      <w:szCs w:val="32"/>
    </w:rPr>
  </w:style>
  <w:style w:type="character" w:customStyle="1" w:styleId="Heading2Char">
    <w:name w:val="Heading 2 Char"/>
    <w:basedOn w:val="DefaultParagraphFont"/>
    <w:link w:val="Heading2"/>
    <w:uiPriority w:val="9"/>
    <w:rsid w:val="005C092E"/>
    <w:rPr>
      <w:rFonts w:ascii="Arial" w:eastAsiaTheme="majorEastAsia" w:hAnsi="Arial" w:cstheme="majorBidi"/>
      <w:b/>
      <w:bCs/>
      <w:color w:val="000000" w:themeColor="text1"/>
      <w:sz w:val="28"/>
      <w:szCs w:val="26"/>
    </w:rPr>
  </w:style>
  <w:style w:type="paragraph" w:styleId="Title">
    <w:name w:val="Title"/>
    <w:basedOn w:val="Normal"/>
    <w:next w:val="Normal"/>
    <w:link w:val="TitleChar"/>
    <w:uiPriority w:val="10"/>
    <w:qFormat/>
    <w:rsid w:val="005F0FB2"/>
    <w:pPr>
      <w:spacing w:after="300" w:line="240" w:lineRule="auto"/>
      <w:contextualSpacing/>
    </w:pPr>
    <w:rPr>
      <w:rFonts w:eastAsiaTheme="majorEastAsia" w:cstheme="majorBidi"/>
      <w:b/>
      <w:bCs/>
      <w:color w:val="FFFFFF" w:themeColor="background1"/>
      <w:spacing w:val="5"/>
      <w:kern w:val="28"/>
      <w:sz w:val="72"/>
      <w:szCs w:val="96"/>
    </w:rPr>
  </w:style>
  <w:style w:type="character" w:customStyle="1" w:styleId="TitleChar">
    <w:name w:val="Title Char"/>
    <w:basedOn w:val="DefaultParagraphFont"/>
    <w:link w:val="Title"/>
    <w:uiPriority w:val="10"/>
    <w:rsid w:val="005F0FB2"/>
    <w:rPr>
      <w:rFonts w:ascii="Arial" w:eastAsiaTheme="majorEastAsia" w:hAnsi="Arial" w:cstheme="majorBidi"/>
      <w:b/>
      <w:bCs/>
      <w:color w:val="FFFFFF" w:themeColor="background1"/>
      <w:spacing w:val="5"/>
      <w:kern w:val="28"/>
      <w:sz w:val="72"/>
      <w:szCs w:val="96"/>
    </w:rPr>
  </w:style>
  <w:style w:type="character" w:styleId="PageNumber">
    <w:name w:val="page number"/>
    <w:basedOn w:val="DefaultParagraphFont"/>
    <w:uiPriority w:val="99"/>
    <w:semiHidden/>
    <w:unhideWhenUsed/>
    <w:rsid w:val="005C092E"/>
  </w:style>
  <w:style w:type="paragraph" w:styleId="ListParagraph">
    <w:name w:val="List Paragraph"/>
    <w:basedOn w:val="Normal"/>
    <w:uiPriority w:val="34"/>
    <w:qFormat/>
    <w:rsid w:val="000332B5"/>
    <w:pPr>
      <w:ind w:left="720"/>
      <w:contextualSpacing/>
    </w:pPr>
  </w:style>
  <w:style w:type="character" w:styleId="CommentReference">
    <w:name w:val="annotation reference"/>
    <w:basedOn w:val="DefaultParagraphFont"/>
    <w:uiPriority w:val="99"/>
    <w:semiHidden/>
    <w:unhideWhenUsed/>
    <w:rsid w:val="00356BBE"/>
    <w:rPr>
      <w:sz w:val="16"/>
      <w:szCs w:val="16"/>
    </w:rPr>
  </w:style>
  <w:style w:type="paragraph" w:styleId="CommentText">
    <w:name w:val="annotation text"/>
    <w:basedOn w:val="Normal"/>
    <w:link w:val="CommentTextChar"/>
    <w:uiPriority w:val="99"/>
    <w:semiHidden/>
    <w:unhideWhenUsed/>
    <w:rsid w:val="00356BBE"/>
    <w:pPr>
      <w:spacing w:line="240" w:lineRule="auto"/>
    </w:pPr>
    <w:rPr>
      <w:sz w:val="20"/>
      <w:szCs w:val="20"/>
    </w:rPr>
  </w:style>
  <w:style w:type="character" w:customStyle="1" w:styleId="CommentTextChar">
    <w:name w:val="Comment Text Char"/>
    <w:basedOn w:val="DefaultParagraphFont"/>
    <w:link w:val="CommentText"/>
    <w:uiPriority w:val="99"/>
    <w:semiHidden/>
    <w:rsid w:val="00356BB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56BBE"/>
    <w:rPr>
      <w:b/>
      <w:bCs/>
    </w:rPr>
  </w:style>
  <w:style w:type="character" w:customStyle="1" w:styleId="CommentSubjectChar">
    <w:name w:val="Comment Subject Char"/>
    <w:basedOn w:val="CommentTextChar"/>
    <w:link w:val="CommentSubject"/>
    <w:uiPriority w:val="99"/>
    <w:semiHidden/>
    <w:rsid w:val="00356BBE"/>
    <w:rPr>
      <w:rFonts w:ascii="Arial" w:hAnsi="Arial"/>
      <w:b/>
      <w:bCs/>
      <w:sz w:val="20"/>
      <w:szCs w:val="20"/>
    </w:rPr>
  </w:style>
  <w:style w:type="character" w:styleId="Hyperlink">
    <w:name w:val="Hyperlink"/>
    <w:basedOn w:val="DefaultParagraphFont"/>
    <w:uiPriority w:val="99"/>
    <w:unhideWhenUsed/>
    <w:rsid w:val="00A47BC0"/>
    <w:rPr>
      <w:color w:val="0000FF" w:themeColor="hyperlink"/>
      <w:u w:val="single"/>
    </w:rPr>
  </w:style>
  <w:style w:type="character" w:styleId="UnresolvedMention">
    <w:name w:val="Unresolved Mention"/>
    <w:basedOn w:val="DefaultParagraphFont"/>
    <w:uiPriority w:val="99"/>
    <w:semiHidden/>
    <w:unhideWhenUsed/>
    <w:rsid w:val="00A47BC0"/>
    <w:rPr>
      <w:color w:val="605E5C"/>
      <w:shd w:val="clear" w:color="auto" w:fill="E1DFDD"/>
    </w:rPr>
  </w:style>
  <w:style w:type="character" w:styleId="FollowedHyperlink">
    <w:name w:val="FollowedHyperlink"/>
    <w:basedOn w:val="DefaultParagraphFont"/>
    <w:uiPriority w:val="99"/>
    <w:semiHidden/>
    <w:unhideWhenUsed/>
    <w:rsid w:val="00A47B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ywintranet.root.internal/policies-procedures/service-delivery/child-safety/child-related-cos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B8F79-1988-40B0-9D7D-744C83E2B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Tertiary Family Support - Brokerage Funds - Guidelines</vt:lpstr>
    </vt:vector>
  </TitlesOfParts>
  <Manager/>
  <Company>Queensland Government</Company>
  <LinksUpToDate>false</LinksUpToDate>
  <CharactersWithSpaces>6248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Tertiary Family Support - Brokerage Funds - Guidelines</dc:title>
  <dc:subject>Brokerage guidelines; tertiary family support services; family support services</dc:subject>
  <dc:creator>Queensland Government</dc:creator>
  <cp:keywords>brokerage; guidelines; tertiary; family; support; services</cp:keywords>
  <dc:description/>
  <cp:lastModifiedBy>Helen Coombs</cp:lastModifiedBy>
  <cp:revision>5</cp:revision>
  <dcterms:created xsi:type="dcterms:W3CDTF">2020-10-14T22:13:00Z</dcterms:created>
  <dcterms:modified xsi:type="dcterms:W3CDTF">2021-03-09T01:45:00Z</dcterms:modified>
  <cp:category>brokerage; guidelines; tertiary; family; support; services</cp:category>
  <cp:version>3.0</cp:version>
</cp:coreProperties>
</file>