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3722" w14:textId="77777777" w:rsidR="00615C0F" w:rsidRPr="000B72F1" w:rsidRDefault="003756AF" w:rsidP="00B665D9">
      <w:pPr>
        <w:pStyle w:val="Heading1"/>
      </w:pPr>
      <w:r w:rsidRPr="000B72F1">
        <w:t>Child Safety</w:t>
      </w:r>
    </w:p>
    <w:p w14:paraId="6F92F3B5" w14:textId="77777777" w:rsidR="00615C0F" w:rsidRPr="000B72F1" w:rsidRDefault="003756AF" w:rsidP="00B665D9">
      <w:pPr>
        <w:pStyle w:val="Heading1"/>
      </w:pPr>
      <w:r w:rsidRPr="000B72F1">
        <w:t xml:space="preserve">POLICY </w:t>
      </w:r>
    </w:p>
    <w:p w14:paraId="739C5738" w14:textId="77777777" w:rsidR="00615C0F" w:rsidRPr="000B72F1" w:rsidRDefault="00615C0F" w:rsidP="00615C0F">
      <w:pPr>
        <w:pBdr>
          <w:bottom w:val="single" w:sz="4" w:space="1" w:color="auto"/>
        </w:pBdr>
        <w:rPr>
          <w:sz w:val="12"/>
        </w:rPr>
      </w:pPr>
    </w:p>
    <w:p w14:paraId="4FCAF1E9" w14:textId="77777777" w:rsidR="00BA5B24" w:rsidRPr="000B72F1" w:rsidRDefault="003756AF" w:rsidP="00BA5B24">
      <w:pPr>
        <w:tabs>
          <w:tab w:val="left" w:pos="2977"/>
        </w:tabs>
        <w:spacing w:after="120"/>
        <w:rPr>
          <w:sz w:val="28"/>
          <w:szCs w:val="28"/>
        </w:rPr>
      </w:pPr>
      <w:r w:rsidRPr="000B72F1">
        <w:rPr>
          <w:b/>
          <w:sz w:val="28"/>
          <w:szCs w:val="28"/>
        </w:rPr>
        <w:t>Title:</w:t>
      </w:r>
      <w:r w:rsidRPr="000B72F1">
        <w:rPr>
          <w:sz w:val="28"/>
          <w:szCs w:val="28"/>
        </w:rPr>
        <w:tab/>
      </w:r>
      <w:r w:rsidRPr="000B72F1">
        <w:rPr>
          <w:rFonts w:cs="Arial"/>
          <w:sz w:val="28"/>
          <w:szCs w:val="32"/>
        </w:rPr>
        <w:t>Permanency</w:t>
      </w:r>
      <w:r w:rsidRPr="000B72F1">
        <w:rPr>
          <w:rFonts w:eastAsia="Arial"/>
          <w:color w:val="000000"/>
          <w:spacing w:val="-1"/>
          <w:sz w:val="28"/>
        </w:rPr>
        <w:t xml:space="preserve"> planning</w:t>
      </w:r>
    </w:p>
    <w:p w14:paraId="37AF4725" w14:textId="77777777" w:rsidR="00BA5B24" w:rsidRPr="000B72F1" w:rsidRDefault="003756AF" w:rsidP="00BA5B24">
      <w:pPr>
        <w:tabs>
          <w:tab w:val="left" w:pos="2977"/>
        </w:tabs>
        <w:spacing w:after="120"/>
        <w:rPr>
          <w:sz w:val="28"/>
          <w:szCs w:val="28"/>
        </w:rPr>
      </w:pPr>
      <w:r w:rsidRPr="000B72F1">
        <w:rPr>
          <w:b/>
          <w:bCs/>
          <w:sz w:val="28"/>
          <w:szCs w:val="28"/>
        </w:rPr>
        <w:t>Policy No:</w:t>
      </w:r>
      <w:r w:rsidRPr="000B72F1">
        <w:rPr>
          <w:sz w:val="28"/>
          <w:szCs w:val="28"/>
        </w:rPr>
        <w:tab/>
      </w:r>
      <w:r w:rsidRPr="000B72F1">
        <w:rPr>
          <w:spacing w:val="1"/>
          <w:sz w:val="28"/>
        </w:rPr>
        <w:t>594-7</w:t>
      </w:r>
    </w:p>
    <w:p w14:paraId="5A492590" w14:textId="77777777" w:rsidR="00615C0F" w:rsidRPr="000B72F1" w:rsidRDefault="00615C0F" w:rsidP="00615C0F">
      <w:pPr>
        <w:pBdr>
          <w:bottom w:val="single" w:sz="4" w:space="1" w:color="auto"/>
        </w:pBdr>
        <w:rPr>
          <w:sz w:val="12"/>
        </w:rPr>
      </w:pPr>
    </w:p>
    <w:p w14:paraId="4332FE52" w14:textId="77777777" w:rsidR="00BA5B24" w:rsidRPr="000B72F1" w:rsidRDefault="003756AF" w:rsidP="00BA5B24">
      <w:pPr>
        <w:spacing w:after="120"/>
        <w:rPr>
          <w:b/>
          <w:sz w:val="24"/>
        </w:rPr>
      </w:pPr>
      <w:r w:rsidRPr="000B72F1">
        <w:rPr>
          <w:b/>
          <w:sz w:val="24"/>
        </w:rPr>
        <w:t>Policy Statement:</w:t>
      </w:r>
    </w:p>
    <w:p w14:paraId="1653770B" w14:textId="1C81C0B8" w:rsidR="00BA5B24" w:rsidRPr="000B72F1" w:rsidRDefault="003756AF" w:rsidP="00BA5B24">
      <w:pPr>
        <w:spacing w:after="120"/>
        <w:rPr>
          <w:rFonts w:cs="Arial"/>
          <w:szCs w:val="22"/>
        </w:rPr>
      </w:pPr>
      <w:r w:rsidRPr="000B72F1">
        <w:rPr>
          <w:rFonts w:cs="Arial"/>
          <w:szCs w:val="22"/>
        </w:rPr>
        <w:t xml:space="preserve">The Department of Child Safety, </w:t>
      </w:r>
      <w:proofErr w:type="gramStart"/>
      <w:r w:rsidRPr="000B72F1">
        <w:rPr>
          <w:rFonts w:cs="Arial"/>
          <w:szCs w:val="22"/>
        </w:rPr>
        <w:t>Seniors</w:t>
      </w:r>
      <w:proofErr w:type="gramEnd"/>
      <w:r w:rsidRPr="000B72F1">
        <w:rPr>
          <w:rFonts w:cs="Arial"/>
          <w:szCs w:val="22"/>
        </w:rPr>
        <w:t xml:space="preserve"> and Disability Services (Child Safety) is committed to administering the </w:t>
      </w:r>
      <w:r w:rsidRPr="000B72F1">
        <w:rPr>
          <w:rFonts w:cs="Arial"/>
          <w:i/>
          <w:iCs/>
          <w:szCs w:val="22"/>
        </w:rPr>
        <w:t>Child Protection Act 1999</w:t>
      </w:r>
      <w:r w:rsidRPr="000B72F1">
        <w:rPr>
          <w:rFonts w:cs="Arial"/>
          <w:szCs w:val="22"/>
        </w:rPr>
        <w:t xml:space="preserve"> (the Act) in a way that promotes permanency for children across all phases of the child protection continuum.</w:t>
      </w:r>
    </w:p>
    <w:p w14:paraId="1B0AA003" w14:textId="269A2383" w:rsidR="00BA5B24" w:rsidRPr="000B72F1" w:rsidRDefault="003756AF" w:rsidP="00BA5B24">
      <w:pPr>
        <w:spacing w:after="120"/>
        <w:rPr>
          <w:rFonts w:cs="Arial"/>
          <w:szCs w:val="22"/>
        </w:rPr>
      </w:pPr>
      <w:r w:rsidRPr="000B72F1">
        <w:rPr>
          <w:rFonts w:cs="Arial"/>
          <w:szCs w:val="22"/>
        </w:rPr>
        <w:t xml:space="preserve">Permanency is defined in section 5BA(3) </w:t>
      </w:r>
      <w:r w:rsidR="005D5777" w:rsidRPr="000B72F1">
        <w:rPr>
          <w:rFonts w:cs="Arial"/>
          <w:szCs w:val="22"/>
        </w:rPr>
        <w:t xml:space="preserve">of the Act </w:t>
      </w:r>
      <w:r w:rsidRPr="000B72F1">
        <w:rPr>
          <w:rFonts w:cs="Arial"/>
          <w:szCs w:val="22"/>
        </w:rPr>
        <w:t>as a child having:</w:t>
      </w:r>
    </w:p>
    <w:p w14:paraId="01A963B8" w14:textId="77777777" w:rsidR="00BA5B24" w:rsidRPr="000B72F1" w:rsidRDefault="003756AF" w:rsidP="00BA5B24">
      <w:pPr>
        <w:pStyle w:val="ListParagraph"/>
        <w:numPr>
          <w:ilvl w:val="0"/>
          <w:numId w:val="3"/>
        </w:numPr>
        <w:spacing w:after="120"/>
        <w:rPr>
          <w:rFonts w:ascii="Arial" w:hAnsi="Arial" w:cs="Arial"/>
        </w:rPr>
      </w:pPr>
      <w:r w:rsidRPr="000B72F1">
        <w:rPr>
          <w:rFonts w:ascii="Arial" w:hAnsi="Arial" w:cs="Arial"/>
        </w:rPr>
        <w:t xml:space="preserve">ongoing positive, </w:t>
      </w:r>
      <w:proofErr w:type="gramStart"/>
      <w:r w:rsidRPr="000B72F1">
        <w:rPr>
          <w:rFonts w:ascii="Arial" w:hAnsi="Arial" w:cs="Arial"/>
        </w:rPr>
        <w:t>trusting</w:t>
      </w:r>
      <w:proofErr w:type="gramEnd"/>
      <w:r w:rsidRPr="000B72F1">
        <w:rPr>
          <w:rFonts w:ascii="Arial" w:hAnsi="Arial" w:cs="Arial"/>
        </w:rPr>
        <w:t xml:space="preserve"> and nurturing relationships with persons of significance to the child, including the child’s parents, siblings, extended family members and carers </w:t>
      </w:r>
      <w:r w:rsidRPr="000B72F1">
        <w:rPr>
          <w:rFonts w:ascii="Arial" w:hAnsi="Arial" w:cs="Arial"/>
          <w:i/>
          <w:iCs/>
        </w:rPr>
        <w:t>(relational permanency)</w:t>
      </w:r>
    </w:p>
    <w:p w14:paraId="5A63280A" w14:textId="77777777" w:rsidR="00BA5B24" w:rsidRPr="000B72F1" w:rsidRDefault="003756AF" w:rsidP="00BA5B24">
      <w:pPr>
        <w:pStyle w:val="ListParagraph"/>
        <w:numPr>
          <w:ilvl w:val="0"/>
          <w:numId w:val="3"/>
        </w:numPr>
        <w:spacing w:after="120"/>
        <w:rPr>
          <w:rFonts w:ascii="Arial" w:hAnsi="Arial" w:cs="Arial"/>
        </w:rPr>
      </w:pPr>
      <w:r w:rsidRPr="000B72F1">
        <w:rPr>
          <w:rFonts w:ascii="Arial" w:hAnsi="Arial" w:cs="Arial"/>
        </w:rPr>
        <w:t xml:space="preserve">stable living arrangements with connections to the child’s community, that meet the child’s developmental, educational, emotional, health, intellectual and physical needs </w:t>
      </w:r>
      <w:r w:rsidRPr="000B72F1">
        <w:rPr>
          <w:rFonts w:ascii="Arial" w:hAnsi="Arial" w:cs="Arial"/>
          <w:i/>
          <w:iCs/>
        </w:rPr>
        <w:t>(physical permanency)</w:t>
      </w:r>
    </w:p>
    <w:p w14:paraId="2903E931" w14:textId="77777777" w:rsidR="00BA5B24" w:rsidRPr="000B72F1" w:rsidRDefault="003756AF" w:rsidP="00BA5B24">
      <w:pPr>
        <w:pStyle w:val="ListParagraph"/>
        <w:numPr>
          <w:ilvl w:val="0"/>
          <w:numId w:val="3"/>
        </w:numPr>
        <w:spacing w:after="120"/>
        <w:rPr>
          <w:rFonts w:ascii="Arial" w:hAnsi="Arial" w:cs="Arial"/>
        </w:rPr>
      </w:pPr>
      <w:r w:rsidRPr="000B72F1">
        <w:rPr>
          <w:rFonts w:ascii="Arial" w:hAnsi="Arial" w:cs="Arial"/>
        </w:rPr>
        <w:t xml:space="preserve">legal arrangements for the child’s care that provide a sense of permanence and long-term stability </w:t>
      </w:r>
      <w:r w:rsidRPr="000B72F1">
        <w:rPr>
          <w:rFonts w:ascii="Arial" w:hAnsi="Arial" w:cs="Arial"/>
          <w:i/>
          <w:iCs/>
        </w:rPr>
        <w:t>(legal permanency).</w:t>
      </w:r>
    </w:p>
    <w:p w14:paraId="1615CEC6" w14:textId="77777777" w:rsidR="00BA5B24" w:rsidRPr="000B72F1" w:rsidRDefault="003756AF" w:rsidP="00BA5B24">
      <w:pPr>
        <w:spacing w:after="120"/>
        <w:rPr>
          <w:rFonts w:cs="Arial"/>
          <w:szCs w:val="22"/>
        </w:rPr>
      </w:pPr>
      <w:r w:rsidRPr="000B72F1">
        <w:rPr>
          <w:rFonts w:cs="Arial"/>
          <w:szCs w:val="22"/>
        </w:rPr>
        <w:t>Child Safety recognises that children need lasting connections with family, community and culture and an opportunity to develop a positive attachment with a safe and caring adult who can meet the child’s safety, belonging and wellbeing needs.</w:t>
      </w:r>
    </w:p>
    <w:p w14:paraId="5DAA50D4" w14:textId="4C72BCBA" w:rsidR="00BA5B24" w:rsidRPr="000B72F1" w:rsidRDefault="003756AF" w:rsidP="00BA5B24">
      <w:pPr>
        <w:spacing w:after="120"/>
        <w:rPr>
          <w:rFonts w:cs="Arial"/>
          <w:szCs w:val="22"/>
        </w:rPr>
      </w:pPr>
      <w:r w:rsidRPr="000B72F1">
        <w:rPr>
          <w:rFonts w:cs="Arial"/>
          <w:szCs w:val="22"/>
        </w:rPr>
        <w:t xml:space="preserve">Case planning will be undertaken to enable children subject to ongoing intervention under the Act to experience relational, </w:t>
      </w:r>
      <w:proofErr w:type="gramStart"/>
      <w:r w:rsidRPr="000B72F1">
        <w:rPr>
          <w:rFonts w:cs="Arial"/>
          <w:szCs w:val="22"/>
        </w:rPr>
        <w:t>physical</w:t>
      </w:r>
      <w:proofErr w:type="gramEnd"/>
      <w:r w:rsidRPr="000B72F1">
        <w:rPr>
          <w:rFonts w:cs="Arial"/>
          <w:szCs w:val="22"/>
        </w:rPr>
        <w:t xml:space="preserve"> and legal permanency. Where the goal for best achieving permanency is to return a child to the care of their parent, the case plan will also identify an alternative goal, in the event timely reunification is not possible. All aspects of Child Safety’s planning with children and families will be aimed at promoting relational, </w:t>
      </w:r>
      <w:proofErr w:type="gramStart"/>
      <w:r w:rsidRPr="000B72F1">
        <w:rPr>
          <w:rFonts w:cs="Arial"/>
          <w:szCs w:val="22"/>
        </w:rPr>
        <w:t>physical</w:t>
      </w:r>
      <w:proofErr w:type="gramEnd"/>
      <w:r w:rsidRPr="000B72F1">
        <w:rPr>
          <w:rFonts w:cs="Arial"/>
          <w:szCs w:val="22"/>
        </w:rPr>
        <w:t xml:space="preserve"> and legal permanency.</w:t>
      </w:r>
    </w:p>
    <w:p w14:paraId="69EBB91E" w14:textId="77777777" w:rsidR="00BA5B24" w:rsidRPr="000B72F1" w:rsidRDefault="003756AF" w:rsidP="00BA5B24">
      <w:pPr>
        <w:spacing w:after="120"/>
        <w:rPr>
          <w:rFonts w:cs="Arial"/>
          <w:szCs w:val="22"/>
        </w:rPr>
      </w:pPr>
      <w:r w:rsidRPr="000B72F1">
        <w:rPr>
          <w:rFonts w:cs="Arial"/>
          <w:szCs w:val="22"/>
        </w:rPr>
        <w:t>Child</w:t>
      </w:r>
      <w:r w:rsidRPr="000B72F1">
        <w:rPr>
          <w:bCs/>
          <w:spacing w:val="-4"/>
        </w:rPr>
        <w:t xml:space="preserve"> Safety is committed to respecting, </w:t>
      </w:r>
      <w:proofErr w:type="gramStart"/>
      <w:r w:rsidRPr="000B72F1">
        <w:rPr>
          <w:bCs/>
          <w:spacing w:val="-4"/>
        </w:rPr>
        <w:t>protecting</w:t>
      </w:r>
      <w:proofErr w:type="gramEnd"/>
      <w:r w:rsidRPr="000B72F1">
        <w:rPr>
          <w:bCs/>
          <w:spacing w:val="-4"/>
        </w:rPr>
        <w:t xml:space="preserve"> and promoting human rights. Under the </w:t>
      </w:r>
      <w:r w:rsidRPr="000B72F1">
        <w:rPr>
          <w:bCs/>
          <w:i/>
          <w:iCs/>
          <w:spacing w:val="-4"/>
        </w:rPr>
        <w:t>Human Rights Act 2019</w:t>
      </w:r>
      <w:r w:rsidRPr="000B72F1">
        <w:rPr>
          <w:bCs/>
          <w:spacing w:val="-4"/>
        </w:rPr>
        <w:t xml:space="preserve">, Child Safety has an obligation to act and make decisions in a way that is compatible with human rights. When </w:t>
      </w:r>
      <w:proofErr w:type="gramStart"/>
      <w:r w:rsidRPr="000B72F1">
        <w:rPr>
          <w:bCs/>
          <w:spacing w:val="-4"/>
        </w:rPr>
        <w:t>making a decision</w:t>
      </w:r>
      <w:proofErr w:type="gramEnd"/>
      <w:r w:rsidRPr="000B72F1">
        <w:rPr>
          <w:bCs/>
          <w:spacing w:val="-4"/>
        </w:rPr>
        <w:t xml:space="preserve"> about how to best achieve permanency for a child, proper consideration will be given to children’s cultural rights and the distinct cultural rights of Aboriginal and Torres Strait Islander peoples and families’ right to protection by the State.</w:t>
      </w:r>
    </w:p>
    <w:p w14:paraId="1329A784" w14:textId="24AF4347" w:rsidR="00BA5B24" w:rsidRPr="000B72F1" w:rsidRDefault="003756AF" w:rsidP="00BA5B24">
      <w:pPr>
        <w:spacing w:after="120"/>
        <w:rPr>
          <w:rFonts w:cs="Arial"/>
          <w:szCs w:val="22"/>
        </w:rPr>
      </w:pPr>
      <w:r w:rsidRPr="000B72F1">
        <w:rPr>
          <w:bCs/>
          <w:spacing w:val="-4"/>
        </w:rPr>
        <w:t xml:space="preserve">When undertaking permanency planning with Aboriginal or Torres Strait Islander children and their families, Child Safety will recognise Aboriginal or Torres Strait Islander people’s right to </w:t>
      </w:r>
      <w:r w:rsidRPr="000B72F1">
        <w:rPr>
          <w:bCs/>
          <w:spacing w:val="-4"/>
        </w:rPr>
        <w:br/>
        <w:t xml:space="preserve">self-determination, the long-term effect a decision will have on a child’s identity and connection with family and community and will make active efforts to apply the </w:t>
      </w:r>
      <w:hyperlink r:id="rId7" w:anchor="sec.5C" w:history="1">
        <w:r w:rsidRPr="000B72F1">
          <w:rPr>
            <w:rStyle w:val="Hyperlink"/>
            <w:bCs/>
            <w:spacing w:val="-4"/>
          </w:rPr>
          <w:t>Aboriginal and Torres Strait Islander Child Placement Principle</w:t>
        </w:r>
      </w:hyperlink>
      <w:r w:rsidRPr="000B72F1">
        <w:t xml:space="preserve"> when making a significant decision about an Aboriginal and Torres Strait Islander child</w:t>
      </w:r>
      <w:r w:rsidRPr="000B72F1">
        <w:rPr>
          <w:bCs/>
          <w:spacing w:val="-4"/>
        </w:rPr>
        <w:t>.</w:t>
      </w:r>
    </w:p>
    <w:p w14:paraId="400C30D8" w14:textId="77777777" w:rsidR="00BA5B24" w:rsidRPr="000B72F1" w:rsidRDefault="00BA5B24" w:rsidP="00BA5B24">
      <w:pPr>
        <w:spacing w:after="120"/>
        <w:rPr>
          <w:rFonts w:cs="Arial"/>
          <w:szCs w:val="22"/>
        </w:rPr>
      </w:pPr>
    </w:p>
    <w:p w14:paraId="2EBAA9A8" w14:textId="77777777" w:rsidR="00BA5B24" w:rsidRPr="000B72F1" w:rsidRDefault="003756AF" w:rsidP="00BA5B24">
      <w:pPr>
        <w:spacing w:after="120"/>
        <w:rPr>
          <w:rFonts w:cs="Arial"/>
          <w:b/>
          <w:bCs/>
          <w:sz w:val="24"/>
          <w:szCs w:val="28"/>
        </w:rPr>
      </w:pPr>
      <w:r w:rsidRPr="000B72F1">
        <w:rPr>
          <w:rFonts w:cs="Arial"/>
          <w:b/>
          <w:bCs/>
          <w:sz w:val="24"/>
          <w:szCs w:val="28"/>
        </w:rPr>
        <w:lastRenderedPageBreak/>
        <w:t>Principles:</w:t>
      </w:r>
    </w:p>
    <w:p w14:paraId="4A0B6E0B" w14:textId="77777777" w:rsidR="00BA5B24" w:rsidRPr="000B72F1" w:rsidRDefault="003756AF" w:rsidP="00BA5B24">
      <w:pPr>
        <w:pStyle w:val="ListParagraph"/>
        <w:numPr>
          <w:ilvl w:val="0"/>
          <w:numId w:val="3"/>
        </w:numPr>
        <w:spacing w:after="120"/>
        <w:rPr>
          <w:rFonts w:ascii="Arial" w:hAnsi="Arial" w:cs="Arial"/>
        </w:rPr>
      </w:pPr>
      <w:r w:rsidRPr="000B72F1">
        <w:rPr>
          <w:rFonts w:ascii="Arial" w:hAnsi="Arial" w:cs="Arial"/>
        </w:rPr>
        <w:t xml:space="preserve">The safety, </w:t>
      </w:r>
      <w:proofErr w:type="gramStart"/>
      <w:r w:rsidRPr="000B72F1">
        <w:rPr>
          <w:rFonts w:ascii="Arial" w:hAnsi="Arial" w:cs="Arial"/>
        </w:rPr>
        <w:t>wellbeing</w:t>
      </w:r>
      <w:proofErr w:type="gramEnd"/>
      <w:r w:rsidRPr="000B72F1">
        <w:rPr>
          <w:rFonts w:ascii="Arial" w:hAnsi="Arial" w:cs="Arial"/>
        </w:rPr>
        <w:t xml:space="preserve"> and best interests of a child, both through childhood and for the rest of the child’s life, are paramount.</w:t>
      </w:r>
    </w:p>
    <w:p w14:paraId="338977EF" w14:textId="77777777" w:rsidR="00BA5B24" w:rsidRPr="000B72F1" w:rsidRDefault="003756AF" w:rsidP="00BA5B24">
      <w:pPr>
        <w:pStyle w:val="ListParagraph"/>
        <w:numPr>
          <w:ilvl w:val="0"/>
          <w:numId w:val="3"/>
        </w:numPr>
        <w:spacing w:after="120"/>
        <w:rPr>
          <w:rFonts w:ascii="Arial" w:hAnsi="Arial" w:cs="Arial"/>
        </w:rPr>
      </w:pPr>
      <w:r w:rsidRPr="000B72F1">
        <w:rPr>
          <w:rFonts w:ascii="Arial" w:hAnsi="Arial" w:cs="Arial"/>
        </w:rPr>
        <w:t>Families have the primary responsibility for the upbringing, protection and development of their children and the preferred way of ensuring a child’s wellbeing is through supporting the child’s family. If a child is removed from the child’s family, consideration will be given to placing the child, as a first option, in the care of kin.</w:t>
      </w:r>
    </w:p>
    <w:p w14:paraId="3BCAE0CB" w14:textId="77777777" w:rsidR="00BA5B24" w:rsidRPr="000B72F1" w:rsidRDefault="003756AF" w:rsidP="00BA5B24">
      <w:pPr>
        <w:pStyle w:val="ListParagraph"/>
        <w:numPr>
          <w:ilvl w:val="0"/>
          <w:numId w:val="3"/>
        </w:numPr>
        <w:spacing w:after="120"/>
        <w:rPr>
          <w:rFonts w:ascii="Arial" w:hAnsi="Arial" w:cs="Arial"/>
        </w:rPr>
      </w:pPr>
      <w:r w:rsidRPr="000B72F1">
        <w:rPr>
          <w:rFonts w:ascii="Arial" w:hAnsi="Arial" w:cs="Arial"/>
        </w:rPr>
        <w:t>Child Safety staff will undertake concurrent planning with children subject to statutory intervention and their families, to proactively identify the best action or order to achieve permanency for the child, in a timely manner.</w:t>
      </w:r>
    </w:p>
    <w:p w14:paraId="711EA4D5" w14:textId="77777777" w:rsidR="00BA5B24" w:rsidRPr="000B72F1" w:rsidRDefault="003756AF" w:rsidP="00BA5B24">
      <w:pPr>
        <w:pStyle w:val="ListParagraph"/>
        <w:numPr>
          <w:ilvl w:val="0"/>
          <w:numId w:val="3"/>
        </w:numPr>
        <w:spacing w:after="120"/>
        <w:rPr>
          <w:rFonts w:ascii="Arial" w:hAnsi="Arial" w:cs="Arial"/>
        </w:rPr>
      </w:pPr>
      <w:r w:rsidRPr="000B72F1">
        <w:rPr>
          <w:rFonts w:ascii="Arial" w:hAnsi="Arial" w:cs="Arial"/>
        </w:rPr>
        <w:t xml:space="preserve">Case planning decisions and actions will promote a child’s relational, </w:t>
      </w:r>
      <w:proofErr w:type="gramStart"/>
      <w:r w:rsidRPr="000B72F1">
        <w:rPr>
          <w:rFonts w:ascii="Arial" w:hAnsi="Arial" w:cs="Arial"/>
        </w:rPr>
        <w:t>physical</w:t>
      </w:r>
      <w:proofErr w:type="gramEnd"/>
      <w:r w:rsidRPr="000B72F1">
        <w:rPr>
          <w:rFonts w:ascii="Arial" w:hAnsi="Arial" w:cs="Arial"/>
        </w:rPr>
        <w:t xml:space="preserve"> and legal permanency.</w:t>
      </w:r>
    </w:p>
    <w:p w14:paraId="3FA67E75" w14:textId="7D857CE7" w:rsidR="00BA5B24" w:rsidRPr="000B72F1" w:rsidRDefault="003756AF" w:rsidP="00BA5B24">
      <w:pPr>
        <w:pStyle w:val="BodyText"/>
        <w:numPr>
          <w:ilvl w:val="0"/>
          <w:numId w:val="3"/>
        </w:numPr>
        <w:spacing w:before="123" w:line="242" w:lineRule="auto"/>
        <w:ind w:right="98"/>
        <w:rPr>
          <w:b w:val="0"/>
          <w:bCs/>
          <w:spacing w:val="-4"/>
        </w:rPr>
      </w:pPr>
      <w:r w:rsidRPr="000B72F1">
        <w:rPr>
          <w:b w:val="0"/>
          <w:bCs/>
          <w:spacing w:val="-4"/>
        </w:rPr>
        <w:t>Children and young people will be provided with meaningful and ongoing opportunities to participate whenever a power is exercised, or a decision is made under the Act that affects, or may affect, them (section 5E</w:t>
      </w:r>
      <w:r w:rsidR="005D5777" w:rsidRPr="000B72F1">
        <w:rPr>
          <w:b w:val="0"/>
          <w:bCs/>
          <w:spacing w:val="-4"/>
        </w:rPr>
        <w:t xml:space="preserve"> of the Act</w:t>
      </w:r>
      <w:r w:rsidRPr="000B72F1">
        <w:rPr>
          <w:b w:val="0"/>
          <w:bCs/>
          <w:spacing w:val="-4"/>
        </w:rPr>
        <w:t>).</w:t>
      </w:r>
    </w:p>
    <w:p w14:paraId="714E2ABD" w14:textId="599FB78D" w:rsidR="00BA5B24" w:rsidRPr="000B72F1" w:rsidRDefault="003756AF" w:rsidP="00BA5B24">
      <w:pPr>
        <w:pStyle w:val="ListParagraph"/>
        <w:numPr>
          <w:ilvl w:val="0"/>
          <w:numId w:val="3"/>
        </w:numPr>
        <w:spacing w:after="120"/>
        <w:rPr>
          <w:rFonts w:ascii="Arial" w:hAnsi="Arial" w:cs="Arial"/>
        </w:rPr>
      </w:pPr>
      <w:r w:rsidRPr="000B72F1">
        <w:rPr>
          <w:rFonts w:ascii="Arial" w:hAnsi="Arial" w:cs="Arial"/>
        </w:rPr>
        <w:t>Child Safety staff will, in consultation, and with the consent of Aboriginal or Torres Strait Islander children and families (section 5H of the Act) arrange for an independent person to help facilitate their participation in significant decisions and decisions about where and with whom a child will live (section 83(2) of the Act).</w:t>
      </w:r>
    </w:p>
    <w:p w14:paraId="5ECA8580" w14:textId="27FC154E" w:rsidR="00BA5B24" w:rsidRPr="000B72F1" w:rsidRDefault="003756AF" w:rsidP="00BA5B24">
      <w:pPr>
        <w:pStyle w:val="ListParagraph"/>
        <w:numPr>
          <w:ilvl w:val="0"/>
          <w:numId w:val="3"/>
        </w:numPr>
        <w:spacing w:after="120"/>
        <w:rPr>
          <w:rFonts w:ascii="Arial" w:hAnsi="Arial" w:cs="Arial"/>
        </w:rPr>
      </w:pPr>
      <w:r w:rsidRPr="000B72F1">
        <w:rPr>
          <w:rFonts w:ascii="Arial" w:hAnsi="Arial" w:cs="Arial"/>
        </w:rPr>
        <w:t xml:space="preserve">Child Safety staff must make active efforts to apply the Aboriginal and Torres Strait Islander Child Placement Principle when making significant decisions about Aboriginal and Torres Strait Islander children (section 5F(2)(a) of the Act). This means purposeful, </w:t>
      </w:r>
      <w:proofErr w:type="gramStart"/>
      <w:r w:rsidRPr="000B72F1">
        <w:rPr>
          <w:rFonts w:ascii="Arial" w:hAnsi="Arial" w:cs="Arial"/>
        </w:rPr>
        <w:t>thorough</w:t>
      </w:r>
      <w:proofErr w:type="gramEnd"/>
      <w:r w:rsidRPr="000B72F1">
        <w:rPr>
          <w:rFonts w:ascii="Arial" w:hAnsi="Arial" w:cs="Arial"/>
        </w:rPr>
        <w:t xml:space="preserve"> and timely efforts to apply the Aboriginal and Torres Strait Islander child placement principle (section 5F(6) of the Act).</w:t>
      </w:r>
    </w:p>
    <w:p w14:paraId="1A706E9F" w14:textId="77777777" w:rsidR="00BA5B24" w:rsidRPr="000B72F1" w:rsidRDefault="003756AF" w:rsidP="00BA5B24">
      <w:pPr>
        <w:pStyle w:val="ListParagraph"/>
        <w:numPr>
          <w:ilvl w:val="0"/>
          <w:numId w:val="3"/>
        </w:numPr>
        <w:spacing w:after="120"/>
        <w:rPr>
          <w:rFonts w:ascii="Arial" w:hAnsi="Arial" w:cs="Arial"/>
        </w:rPr>
      </w:pPr>
      <w:r w:rsidRPr="000B72F1">
        <w:rPr>
          <w:rFonts w:ascii="Arial" w:hAnsi="Arial" w:cs="Arial"/>
        </w:rPr>
        <w:t>Children and families from culturally and linguistically diverse backgrounds will be supported to access support they may need to assist their participation.</w:t>
      </w:r>
    </w:p>
    <w:p w14:paraId="66508B8C" w14:textId="77777777" w:rsidR="00BA5B24" w:rsidRPr="000B72F1" w:rsidRDefault="003756AF" w:rsidP="00BA5B24">
      <w:pPr>
        <w:pStyle w:val="BodyText"/>
        <w:widowControl w:val="0"/>
        <w:numPr>
          <w:ilvl w:val="0"/>
          <w:numId w:val="3"/>
        </w:numPr>
        <w:tabs>
          <w:tab w:val="left" w:pos="462"/>
        </w:tabs>
        <w:spacing w:before="122" w:after="0" w:line="241" w:lineRule="auto"/>
        <w:ind w:right="498"/>
        <w:rPr>
          <w:b w:val="0"/>
          <w:bCs/>
          <w:spacing w:val="-3"/>
        </w:rPr>
      </w:pPr>
      <w:r w:rsidRPr="000B72F1">
        <w:rPr>
          <w:b w:val="0"/>
          <w:bCs/>
          <w:spacing w:val="-3"/>
        </w:rPr>
        <w:t xml:space="preserve">Children in care must regularly be provided with information about the charter or rights and its affect and Child Safety’s obligations in relation to the charter. </w:t>
      </w:r>
    </w:p>
    <w:p w14:paraId="3B066622" w14:textId="77777777" w:rsidR="00BA5B24" w:rsidRPr="000B72F1" w:rsidRDefault="00BA5B24" w:rsidP="00BA5B24">
      <w:pPr>
        <w:spacing w:after="120"/>
        <w:rPr>
          <w:rFonts w:cs="Arial"/>
        </w:rPr>
      </w:pPr>
    </w:p>
    <w:p w14:paraId="7F88EBE2" w14:textId="77777777" w:rsidR="00BA5B24" w:rsidRPr="000B72F1" w:rsidRDefault="003756AF" w:rsidP="00BA5B24">
      <w:pPr>
        <w:spacing w:after="120"/>
        <w:rPr>
          <w:rFonts w:cs="Arial"/>
          <w:b/>
          <w:bCs/>
          <w:sz w:val="24"/>
          <w:szCs w:val="28"/>
        </w:rPr>
      </w:pPr>
      <w:r w:rsidRPr="000B72F1">
        <w:rPr>
          <w:rFonts w:cs="Arial"/>
          <w:b/>
          <w:bCs/>
          <w:sz w:val="24"/>
          <w:szCs w:val="28"/>
        </w:rPr>
        <w:t>Objectives:</w:t>
      </w:r>
    </w:p>
    <w:p w14:paraId="42CE2C85" w14:textId="77777777" w:rsidR="00BA5B24" w:rsidRPr="000B72F1" w:rsidRDefault="003756AF" w:rsidP="00BA5B24">
      <w:pPr>
        <w:spacing w:after="120"/>
        <w:rPr>
          <w:rFonts w:cs="Arial"/>
          <w:szCs w:val="22"/>
        </w:rPr>
      </w:pPr>
      <w:r w:rsidRPr="000B72F1">
        <w:rPr>
          <w:rFonts w:cs="Arial"/>
          <w:szCs w:val="22"/>
        </w:rPr>
        <w:t>This policy aims to:</w:t>
      </w:r>
    </w:p>
    <w:p w14:paraId="7A8EC80C" w14:textId="77777777" w:rsidR="00BA5B24" w:rsidRPr="000B72F1" w:rsidRDefault="003756AF" w:rsidP="00BA5B24">
      <w:pPr>
        <w:pStyle w:val="ListParagraph"/>
        <w:numPr>
          <w:ilvl w:val="0"/>
          <w:numId w:val="3"/>
        </w:numPr>
        <w:spacing w:after="120"/>
        <w:rPr>
          <w:rFonts w:ascii="Arial" w:hAnsi="Arial" w:cs="Arial"/>
        </w:rPr>
      </w:pPr>
      <w:r w:rsidRPr="000B72F1">
        <w:rPr>
          <w:rFonts w:ascii="Arial" w:hAnsi="Arial" w:cs="Arial"/>
        </w:rPr>
        <w:t>support collaborative and timely planning to best achieving permanency for a child</w:t>
      </w:r>
    </w:p>
    <w:p w14:paraId="529D7D7A" w14:textId="77777777" w:rsidR="00BA5B24" w:rsidRPr="000B72F1" w:rsidRDefault="003756AF" w:rsidP="00BA5B24">
      <w:pPr>
        <w:pStyle w:val="ListParagraph"/>
        <w:numPr>
          <w:ilvl w:val="0"/>
          <w:numId w:val="3"/>
        </w:numPr>
        <w:spacing w:after="120"/>
        <w:rPr>
          <w:rFonts w:ascii="Arial" w:hAnsi="Arial" w:cs="Arial"/>
        </w:rPr>
      </w:pPr>
      <w:r w:rsidRPr="000B72F1">
        <w:rPr>
          <w:rFonts w:ascii="Arial" w:hAnsi="Arial" w:cs="Arial"/>
        </w:rPr>
        <w:t xml:space="preserve">ensure children and young people are provided with the information and support they need to participate in decisions about the best option for meeting their need for relational, </w:t>
      </w:r>
      <w:proofErr w:type="gramStart"/>
      <w:r w:rsidRPr="000B72F1">
        <w:rPr>
          <w:rFonts w:ascii="Arial" w:hAnsi="Arial" w:cs="Arial"/>
        </w:rPr>
        <w:t>physical</w:t>
      </w:r>
      <w:proofErr w:type="gramEnd"/>
      <w:r w:rsidRPr="000B72F1">
        <w:rPr>
          <w:rFonts w:ascii="Arial" w:hAnsi="Arial" w:cs="Arial"/>
        </w:rPr>
        <w:t xml:space="preserve"> and legal permanency.</w:t>
      </w:r>
    </w:p>
    <w:p w14:paraId="7EE39ABE" w14:textId="77777777" w:rsidR="00BA5B24" w:rsidRPr="000B72F1" w:rsidRDefault="003756AF" w:rsidP="00BA5B24">
      <w:pPr>
        <w:pStyle w:val="ListParagraph"/>
        <w:numPr>
          <w:ilvl w:val="0"/>
          <w:numId w:val="3"/>
        </w:numPr>
        <w:spacing w:after="120"/>
        <w:rPr>
          <w:rFonts w:ascii="Arial" w:hAnsi="Arial" w:cs="Arial"/>
        </w:rPr>
      </w:pPr>
      <w:r w:rsidRPr="000B72F1">
        <w:rPr>
          <w:rFonts w:ascii="Arial" w:hAnsi="Arial" w:cs="Arial"/>
        </w:rPr>
        <w:t>ensure principles for achieving permanency for a child, and the additional principles for Aboriginal and Torres Strait Islander children, are applied to identify the best action or option for achieving permanency for a child.</w:t>
      </w:r>
    </w:p>
    <w:p w14:paraId="7CB45AAA" w14:textId="77777777" w:rsidR="00BA5B24" w:rsidRPr="000B72F1" w:rsidRDefault="00BA5B24" w:rsidP="00BA5B24">
      <w:pPr>
        <w:spacing w:after="120"/>
        <w:rPr>
          <w:rFonts w:cs="Arial"/>
          <w:szCs w:val="22"/>
        </w:rPr>
      </w:pPr>
    </w:p>
    <w:p w14:paraId="2E071E79" w14:textId="77777777" w:rsidR="00BA5B24" w:rsidRPr="000B72F1" w:rsidRDefault="003756AF" w:rsidP="00BA5B24">
      <w:pPr>
        <w:spacing w:after="120"/>
        <w:rPr>
          <w:rFonts w:cs="Arial"/>
          <w:b/>
          <w:bCs/>
          <w:sz w:val="24"/>
          <w:szCs w:val="28"/>
        </w:rPr>
      </w:pPr>
      <w:r w:rsidRPr="000B72F1">
        <w:rPr>
          <w:rFonts w:cs="Arial"/>
          <w:b/>
          <w:bCs/>
          <w:sz w:val="24"/>
          <w:szCs w:val="28"/>
        </w:rPr>
        <w:t>Scope:</w:t>
      </w:r>
    </w:p>
    <w:p w14:paraId="6228E564" w14:textId="245D30DD" w:rsidR="00BA5B24" w:rsidRPr="000B72F1" w:rsidRDefault="003756AF" w:rsidP="00BA5B24">
      <w:pPr>
        <w:spacing w:after="120"/>
        <w:rPr>
          <w:rFonts w:cs="Arial"/>
          <w:szCs w:val="22"/>
        </w:rPr>
      </w:pPr>
      <w:r w:rsidRPr="000B72F1">
        <w:rPr>
          <w:rFonts w:cs="Arial"/>
          <w:szCs w:val="22"/>
        </w:rPr>
        <w:t>This policy applies to all planning, decisions and actions undertaken to meet the safety, belonging and wellbeing needs of children subject to statutory intervention under the Act.</w:t>
      </w:r>
    </w:p>
    <w:p w14:paraId="55F51A93" w14:textId="77777777" w:rsidR="00BA5B24" w:rsidRPr="000B72F1" w:rsidRDefault="00BA5B24" w:rsidP="00BA5B24">
      <w:pPr>
        <w:spacing w:after="120"/>
        <w:rPr>
          <w:rFonts w:cs="Arial"/>
          <w:szCs w:val="22"/>
        </w:rPr>
      </w:pPr>
    </w:p>
    <w:p w14:paraId="37094CCC" w14:textId="77777777" w:rsidR="00BA5B24" w:rsidRPr="000B72F1" w:rsidRDefault="003756AF" w:rsidP="00BA5B24">
      <w:pPr>
        <w:spacing w:after="120"/>
        <w:rPr>
          <w:rFonts w:cs="Arial"/>
          <w:b/>
          <w:bCs/>
          <w:sz w:val="24"/>
          <w:szCs w:val="28"/>
        </w:rPr>
      </w:pPr>
      <w:r w:rsidRPr="000B72F1">
        <w:rPr>
          <w:rFonts w:cs="Arial"/>
          <w:b/>
          <w:bCs/>
          <w:sz w:val="24"/>
          <w:szCs w:val="28"/>
        </w:rPr>
        <w:lastRenderedPageBreak/>
        <w:t>Roles and Responsibilities:</w:t>
      </w:r>
    </w:p>
    <w:p w14:paraId="7AD40E50" w14:textId="77777777" w:rsidR="00BA5B24" w:rsidRPr="000B72F1" w:rsidRDefault="003756AF" w:rsidP="00BA5B24">
      <w:pPr>
        <w:spacing w:after="120"/>
        <w:rPr>
          <w:rFonts w:cs="Arial"/>
          <w:szCs w:val="22"/>
        </w:rPr>
      </w:pPr>
      <w:r w:rsidRPr="000B72F1">
        <w:rPr>
          <w:rFonts w:cs="Arial"/>
          <w:szCs w:val="22"/>
        </w:rPr>
        <w:t>Roles and responsibilities in relation to permanency planning are set out in the Child Safety Practice Manual.</w:t>
      </w:r>
    </w:p>
    <w:p w14:paraId="34361BF5" w14:textId="77777777" w:rsidR="00BA5B24" w:rsidRPr="000B72F1" w:rsidRDefault="00BA5B24" w:rsidP="00BA5B24">
      <w:pPr>
        <w:spacing w:after="120"/>
        <w:rPr>
          <w:rFonts w:cs="Arial"/>
          <w:szCs w:val="22"/>
        </w:rPr>
      </w:pPr>
    </w:p>
    <w:p w14:paraId="1ADB5A73" w14:textId="77777777" w:rsidR="00BA5B24" w:rsidRPr="000B72F1" w:rsidRDefault="003756AF" w:rsidP="00BA5B24">
      <w:pPr>
        <w:spacing w:after="120"/>
        <w:rPr>
          <w:rFonts w:cs="Arial"/>
          <w:b/>
          <w:bCs/>
          <w:szCs w:val="22"/>
        </w:rPr>
      </w:pPr>
      <w:r w:rsidRPr="000B72F1">
        <w:rPr>
          <w:rFonts w:cs="Arial"/>
          <w:b/>
          <w:bCs/>
          <w:szCs w:val="22"/>
        </w:rPr>
        <w:t>Practice panel review of permanency decisions</w:t>
      </w:r>
    </w:p>
    <w:p w14:paraId="6C29BC73" w14:textId="77777777" w:rsidR="00BA5B24" w:rsidRPr="000B72F1" w:rsidRDefault="003756AF" w:rsidP="00BA5B24">
      <w:pPr>
        <w:spacing w:after="120"/>
        <w:rPr>
          <w:rFonts w:cs="Arial"/>
          <w:szCs w:val="22"/>
        </w:rPr>
      </w:pPr>
      <w:r w:rsidRPr="000B72F1">
        <w:rPr>
          <w:rFonts w:cs="Arial"/>
          <w:szCs w:val="22"/>
        </w:rPr>
        <w:t>A practice panel will be convened to review all decisions relating to permanency (reunification or the pursuit of an alternative permanency goal). The practice panel will provide rigour and objectivity to decisions being made about how to best achieve permanency for a child.</w:t>
      </w:r>
    </w:p>
    <w:p w14:paraId="182F7D58" w14:textId="77777777" w:rsidR="00BA5B24" w:rsidRPr="000B72F1" w:rsidRDefault="003756AF" w:rsidP="00BA5B24">
      <w:pPr>
        <w:spacing w:after="120"/>
        <w:rPr>
          <w:rFonts w:cs="Arial"/>
          <w:szCs w:val="22"/>
        </w:rPr>
      </w:pPr>
      <w:r w:rsidRPr="000B72F1">
        <w:rPr>
          <w:rFonts w:cs="Arial"/>
          <w:szCs w:val="22"/>
        </w:rPr>
        <w:t xml:space="preserve">The practice panel will critically examine information available including information about how the child has been </w:t>
      </w:r>
      <w:r w:rsidRPr="000B72F1">
        <w:rPr>
          <w:rFonts w:cs="Arial"/>
          <w:bCs/>
          <w:szCs w:val="22"/>
        </w:rPr>
        <w:t xml:space="preserve">provided </w:t>
      </w:r>
      <w:r w:rsidRPr="000B72F1">
        <w:rPr>
          <w:rFonts w:cs="Arial"/>
          <w:szCs w:val="22"/>
        </w:rPr>
        <w:t>with</w:t>
      </w:r>
      <w:r w:rsidRPr="000B72F1">
        <w:rPr>
          <w:rFonts w:cs="Arial"/>
          <w:b/>
          <w:bCs/>
          <w:szCs w:val="22"/>
        </w:rPr>
        <w:t xml:space="preserve"> </w:t>
      </w:r>
      <w:r w:rsidRPr="000B72F1">
        <w:rPr>
          <w:rFonts w:cs="Arial"/>
          <w:bCs/>
          <w:szCs w:val="22"/>
        </w:rPr>
        <w:t>ongoing opportunit</w:t>
      </w:r>
      <w:r w:rsidRPr="000B72F1">
        <w:rPr>
          <w:rFonts w:cs="Arial"/>
          <w:szCs w:val="22"/>
        </w:rPr>
        <w:t>ies</w:t>
      </w:r>
      <w:r w:rsidRPr="000B72F1">
        <w:rPr>
          <w:rFonts w:cs="Arial"/>
          <w:bCs/>
          <w:szCs w:val="22"/>
        </w:rPr>
        <w:t xml:space="preserve"> and support to meaningfully participate </w:t>
      </w:r>
      <w:r w:rsidRPr="000B72F1">
        <w:rPr>
          <w:rFonts w:cs="Arial"/>
          <w:szCs w:val="22"/>
        </w:rPr>
        <w:t xml:space="preserve">in decisions about </w:t>
      </w:r>
      <w:r w:rsidRPr="000B72F1">
        <w:rPr>
          <w:rFonts w:cs="Arial"/>
        </w:rPr>
        <w:t xml:space="preserve">the best option for meeting their need for relational, </w:t>
      </w:r>
      <w:proofErr w:type="gramStart"/>
      <w:r w:rsidRPr="000B72F1">
        <w:rPr>
          <w:rFonts w:cs="Arial"/>
        </w:rPr>
        <w:t>physical</w:t>
      </w:r>
      <w:proofErr w:type="gramEnd"/>
      <w:r w:rsidRPr="000B72F1">
        <w:rPr>
          <w:rFonts w:cs="Arial"/>
        </w:rPr>
        <w:t xml:space="preserve"> and legal permanency.</w:t>
      </w:r>
      <w:r w:rsidRPr="000B72F1">
        <w:rPr>
          <w:rFonts w:cs="Arial"/>
          <w:szCs w:val="22"/>
        </w:rPr>
        <w:t xml:space="preserve"> If the decision involves an Aboriginal and Torres Strait Islander child, the panel will also consider whether an independent person helped facilitate the child and the child’s family to participate in decision making and the extent of active efforts made to apply the Aboriginal and Torres Strait Islander Child Placement Principle when making decisions about the child’s permanent care needs.</w:t>
      </w:r>
    </w:p>
    <w:p w14:paraId="70E84C4B" w14:textId="77777777" w:rsidR="00BA5B24" w:rsidRPr="000B72F1" w:rsidRDefault="003756AF" w:rsidP="00BA5B24">
      <w:pPr>
        <w:spacing w:after="120"/>
        <w:rPr>
          <w:rFonts w:cs="Arial"/>
          <w:szCs w:val="22"/>
        </w:rPr>
      </w:pPr>
      <w:r w:rsidRPr="000B72F1">
        <w:rPr>
          <w:rFonts w:cs="Arial"/>
          <w:szCs w:val="22"/>
        </w:rPr>
        <w:t>The practice panel will include a critical friend and other relevant partners to help ensure all perspectives are considered in decision making.</w:t>
      </w:r>
    </w:p>
    <w:p w14:paraId="1AC3C359" w14:textId="77777777" w:rsidR="00BA5B24" w:rsidRPr="000B72F1" w:rsidRDefault="00BA5B24" w:rsidP="00BA5B24">
      <w:pPr>
        <w:spacing w:after="120"/>
        <w:rPr>
          <w:rFonts w:cs="Arial"/>
          <w:szCs w:val="22"/>
        </w:rPr>
      </w:pPr>
    </w:p>
    <w:p w14:paraId="6329E899" w14:textId="77777777" w:rsidR="00BA5B24" w:rsidRPr="000B72F1" w:rsidRDefault="003756AF" w:rsidP="00BA5B24">
      <w:pPr>
        <w:spacing w:after="120"/>
        <w:rPr>
          <w:rFonts w:cs="Arial"/>
          <w:b/>
          <w:bCs/>
          <w:szCs w:val="22"/>
        </w:rPr>
      </w:pPr>
      <w:r w:rsidRPr="000B72F1">
        <w:rPr>
          <w:rFonts w:cs="Arial"/>
          <w:b/>
          <w:bCs/>
          <w:szCs w:val="22"/>
        </w:rPr>
        <w:t>Permanency considerations that apply to all children</w:t>
      </w:r>
    </w:p>
    <w:p w14:paraId="59CD296B" w14:textId="77777777" w:rsidR="00BA5B24" w:rsidRPr="000B72F1" w:rsidRDefault="003756AF" w:rsidP="00BA5B24">
      <w:pPr>
        <w:spacing w:after="120"/>
        <w:rPr>
          <w:rFonts w:cs="Arial"/>
          <w:szCs w:val="22"/>
        </w:rPr>
      </w:pPr>
      <w:r w:rsidRPr="000B72F1">
        <w:rPr>
          <w:rFonts w:cs="Arial"/>
          <w:szCs w:val="22"/>
        </w:rPr>
        <w:t xml:space="preserve">To determine the best option for achieving relational, </w:t>
      </w:r>
      <w:proofErr w:type="gramStart"/>
      <w:r w:rsidRPr="000B72F1">
        <w:rPr>
          <w:rFonts w:cs="Arial"/>
          <w:szCs w:val="22"/>
        </w:rPr>
        <w:t>physical</w:t>
      </w:r>
      <w:proofErr w:type="gramEnd"/>
      <w:r w:rsidRPr="000B72F1">
        <w:rPr>
          <w:rFonts w:cs="Arial"/>
          <w:szCs w:val="22"/>
        </w:rPr>
        <w:t xml:space="preserve"> and legal permanency for a child, Child Safety will identify the option that best:</w:t>
      </w:r>
    </w:p>
    <w:p w14:paraId="2EBAE708" w14:textId="77777777" w:rsidR="00BA5B24" w:rsidRPr="000B72F1" w:rsidRDefault="003756AF" w:rsidP="00BA5B24">
      <w:pPr>
        <w:pStyle w:val="ListParagraph"/>
        <w:numPr>
          <w:ilvl w:val="0"/>
          <w:numId w:val="2"/>
        </w:numPr>
        <w:spacing w:after="120"/>
        <w:ind w:left="357" w:hanging="357"/>
        <w:rPr>
          <w:rFonts w:ascii="Arial" w:hAnsi="Arial" w:cs="Arial"/>
        </w:rPr>
      </w:pPr>
      <w:r w:rsidRPr="000B72F1">
        <w:rPr>
          <w:rFonts w:ascii="Arial" w:hAnsi="Arial" w:cs="Arial"/>
        </w:rPr>
        <w:t xml:space="preserve">supports ongoing positive, </w:t>
      </w:r>
      <w:proofErr w:type="gramStart"/>
      <w:r w:rsidRPr="000B72F1">
        <w:rPr>
          <w:rFonts w:ascii="Arial" w:hAnsi="Arial" w:cs="Arial"/>
        </w:rPr>
        <w:t>trusting</w:t>
      </w:r>
      <w:proofErr w:type="gramEnd"/>
      <w:r w:rsidRPr="000B72F1">
        <w:rPr>
          <w:rFonts w:ascii="Arial" w:hAnsi="Arial" w:cs="Arial"/>
        </w:rPr>
        <w:t xml:space="preserve"> and nurturing relationships with persons of significance to the child, including the child’s parents, siblings, extended family members and carers and for an Aboriginal and Torres Strait Islander child, supports their right to develop and maintain a connection with their family, community, culture, traditions and language (</w:t>
      </w:r>
      <w:r w:rsidRPr="000B72F1">
        <w:rPr>
          <w:rFonts w:ascii="Arial" w:hAnsi="Arial" w:cs="Arial"/>
          <w:i/>
          <w:iCs/>
        </w:rPr>
        <w:t>relational permanence</w:t>
      </w:r>
      <w:r w:rsidRPr="000B72F1">
        <w:rPr>
          <w:rFonts w:ascii="Arial" w:hAnsi="Arial" w:cs="Arial"/>
        </w:rPr>
        <w:t>); and</w:t>
      </w:r>
    </w:p>
    <w:p w14:paraId="533DECBB" w14:textId="77777777" w:rsidR="00BA5B24" w:rsidRPr="000B72F1" w:rsidRDefault="003756AF" w:rsidP="00BA5B24">
      <w:pPr>
        <w:pStyle w:val="ListParagraph"/>
        <w:numPr>
          <w:ilvl w:val="0"/>
          <w:numId w:val="2"/>
        </w:numPr>
        <w:spacing w:after="120"/>
        <w:ind w:left="357" w:hanging="357"/>
        <w:rPr>
          <w:rFonts w:ascii="Arial" w:hAnsi="Arial" w:cs="Arial"/>
        </w:rPr>
      </w:pPr>
      <w:r w:rsidRPr="000B72F1">
        <w:rPr>
          <w:rFonts w:ascii="Arial" w:hAnsi="Arial" w:cs="Arial"/>
        </w:rPr>
        <w:t>provides stable living arrangements, with connections to the child’s community, that meet the child’s developmental, educational, emotional, health, intellectual and physical needs (</w:t>
      </w:r>
      <w:r w:rsidRPr="000B72F1">
        <w:rPr>
          <w:rFonts w:ascii="Arial" w:hAnsi="Arial" w:cs="Arial"/>
          <w:i/>
          <w:iCs/>
        </w:rPr>
        <w:t>physical permanence</w:t>
      </w:r>
      <w:r w:rsidRPr="000B72F1">
        <w:rPr>
          <w:rFonts w:ascii="Arial" w:hAnsi="Arial" w:cs="Arial"/>
        </w:rPr>
        <w:t>); and</w:t>
      </w:r>
    </w:p>
    <w:p w14:paraId="09AF9F13" w14:textId="77777777" w:rsidR="00BA5B24" w:rsidRPr="000B72F1" w:rsidRDefault="003756AF" w:rsidP="00BA5B24">
      <w:pPr>
        <w:pStyle w:val="ListParagraph"/>
        <w:numPr>
          <w:ilvl w:val="0"/>
          <w:numId w:val="2"/>
        </w:numPr>
        <w:spacing w:after="120"/>
        <w:ind w:left="357" w:hanging="357"/>
        <w:rPr>
          <w:rFonts w:ascii="Arial" w:hAnsi="Arial" w:cs="Arial"/>
        </w:rPr>
      </w:pPr>
      <w:r w:rsidRPr="000B72F1">
        <w:rPr>
          <w:rFonts w:ascii="Arial" w:hAnsi="Arial" w:cs="Arial"/>
        </w:rPr>
        <w:t>provides legal security and a sense of permanence and long-term stability, including, for example, a long-term guardianship order, a permanent care order or an adoption order for the child (</w:t>
      </w:r>
      <w:r w:rsidRPr="000B72F1">
        <w:rPr>
          <w:rFonts w:ascii="Arial" w:hAnsi="Arial" w:cs="Arial"/>
          <w:i/>
          <w:iCs/>
        </w:rPr>
        <w:t>legal permanence</w:t>
      </w:r>
      <w:r w:rsidRPr="000B72F1">
        <w:rPr>
          <w:rFonts w:ascii="Arial" w:hAnsi="Arial" w:cs="Arial"/>
        </w:rPr>
        <w:t>).</w:t>
      </w:r>
    </w:p>
    <w:p w14:paraId="317646EA" w14:textId="77777777" w:rsidR="00BA5B24" w:rsidRPr="000B72F1" w:rsidRDefault="00BA5B24" w:rsidP="00BA5B24">
      <w:pPr>
        <w:spacing w:after="120"/>
        <w:rPr>
          <w:rFonts w:cs="Arial"/>
        </w:rPr>
      </w:pPr>
    </w:p>
    <w:p w14:paraId="218B3C87" w14:textId="77777777" w:rsidR="00BA5B24" w:rsidRPr="000B72F1" w:rsidRDefault="003756AF" w:rsidP="00BA5B24">
      <w:pPr>
        <w:spacing w:after="120"/>
        <w:rPr>
          <w:rFonts w:cs="Arial"/>
          <w:szCs w:val="22"/>
        </w:rPr>
      </w:pPr>
      <w:r w:rsidRPr="000B72F1">
        <w:rPr>
          <w:rFonts w:cs="Arial"/>
          <w:szCs w:val="22"/>
        </w:rPr>
        <w:t>Child Safety will, wherever possible, ensure the option enables the:</w:t>
      </w:r>
    </w:p>
    <w:p w14:paraId="759DBF63" w14:textId="7D4D2FF3" w:rsidR="00BA5B24" w:rsidRPr="000B72F1" w:rsidRDefault="003756AF" w:rsidP="00BA5B24">
      <w:pPr>
        <w:pStyle w:val="ListParagraph"/>
        <w:numPr>
          <w:ilvl w:val="0"/>
          <w:numId w:val="2"/>
        </w:numPr>
        <w:spacing w:after="120"/>
        <w:ind w:left="357" w:hanging="357"/>
        <w:rPr>
          <w:rFonts w:ascii="Arial" w:hAnsi="Arial" w:cs="Arial"/>
        </w:rPr>
      </w:pPr>
      <w:r w:rsidRPr="000B72F1">
        <w:rPr>
          <w:rFonts w:ascii="Arial" w:hAnsi="Arial" w:cs="Arial"/>
        </w:rPr>
        <w:t>child to be placed with kin (section 5B(h) of the Act)</w:t>
      </w:r>
    </w:p>
    <w:p w14:paraId="3FC42995" w14:textId="650EA141" w:rsidR="00BA5B24" w:rsidRPr="000B72F1" w:rsidRDefault="003756AF" w:rsidP="00BA5B24">
      <w:pPr>
        <w:pStyle w:val="ListParagraph"/>
        <w:numPr>
          <w:ilvl w:val="0"/>
          <w:numId w:val="2"/>
        </w:numPr>
        <w:spacing w:after="120"/>
        <w:ind w:left="357" w:hanging="357"/>
        <w:rPr>
          <w:rFonts w:ascii="Arial" w:hAnsi="Arial" w:cs="Arial"/>
        </w:rPr>
      </w:pPr>
      <w:r w:rsidRPr="000B72F1">
        <w:rPr>
          <w:rFonts w:ascii="Arial" w:hAnsi="Arial" w:cs="Arial"/>
        </w:rPr>
        <w:t>child to be placed with siblings (s</w:t>
      </w:r>
      <w:r w:rsidR="005D5777" w:rsidRPr="000B72F1">
        <w:rPr>
          <w:rFonts w:ascii="Arial" w:hAnsi="Arial" w:cs="Arial"/>
        </w:rPr>
        <w:t xml:space="preserve">ection </w:t>
      </w:r>
      <w:r w:rsidRPr="000B72F1">
        <w:rPr>
          <w:rFonts w:ascii="Arial" w:hAnsi="Arial" w:cs="Arial"/>
        </w:rPr>
        <w:t>5B(</w:t>
      </w:r>
      <w:proofErr w:type="spellStart"/>
      <w:r w:rsidRPr="000B72F1">
        <w:rPr>
          <w:rFonts w:ascii="Arial" w:hAnsi="Arial" w:cs="Arial"/>
        </w:rPr>
        <w:t>i</w:t>
      </w:r>
      <w:proofErr w:type="spellEnd"/>
      <w:r w:rsidRPr="000B72F1">
        <w:rPr>
          <w:rFonts w:ascii="Arial" w:hAnsi="Arial" w:cs="Arial"/>
        </w:rPr>
        <w:t>) of the Act)</w:t>
      </w:r>
    </w:p>
    <w:p w14:paraId="637C1344" w14:textId="555CB156" w:rsidR="00BA5B24" w:rsidRPr="000B72F1" w:rsidRDefault="003756AF" w:rsidP="00BA5B24">
      <w:pPr>
        <w:pStyle w:val="ListParagraph"/>
        <w:numPr>
          <w:ilvl w:val="0"/>
          <w:numId w:val="2"/>
        </w:numPr>
        <w:spacing w:after="120"/>
        <w:ind w:left="357" w:hanging="357"/>
        <w:rPr>
          <w:rFonts w:ascii="Arial" w:hAnsi="Arial" w:cs="Arial"/>
        </w:rPr>
      </w:pPr>
      <w:r w:rsidRPr="000B72F1">
        <w:rPr>
          <w:rFonts w:ascii="Arial" w:hAnsi="Arial" w:cs="Arial"/>
        </w:rPr>
        <w:t>child to have ongoing relationships with family and kin (s</w:t>
      </w:r>
      <w:r w:rsidR="005D5777" w:rsidRPr="000B72F1">
        <w:rPr>
          <w:rFonts w:ascii="Arial" w:hAnsi="Arial" w:cs="Arial"/>
        </w:rPr>
        <w:t xml:space="preserve">ection </w:t>
      </w:r>
      <w:r w:rsidRPr="000B72F1">
        <w:rPr>
          <w:rFonts w:ascii="Arial" w:hAnsi="Arial" w:cs="Arial"/>
        </w:rPr>
        <w:t>5B(k) of the Act)</w:t>
      </w:r>
    </w:p>
    <w:p w14:paraId="29FC0540" w14:textId="77777777" w:rsidR="00BA5B24" w:rsidRPr="000B72F1" w:rsidRDefault="003756AF" w:rsidP="00BA5B24">
      <w:pPr>
        <w:pStyle w:val="ListParagraph"/>
        <w:numPr>
          <w:ilvl w:val="0"/>
          <w:numId w:val="2"/>
        </w:numPr>
        <w:spacing w:after="120"/>
        <w:ind w:left="357" w:hanging="357"/>
        <w:rPr>
          <w:rFonts w:ascii="Arial" w:hAnsi="Arial" w:cs="Arial"/>
        </w:rPr>
      </w:pPr>
      <w:r w:rsidRPr="000B72F1">
        <w:rPr>
          <w:rFonts w:ascii="Arial" w:hAnsi="Arial" w:cs="Arial"/>
        </w:rPr>
        <w:t xml:space="preserve">for an Aboriginal and Torres Strait Islander child, the child to develop and maintain a connection with their family, community, culture, </w:t>
      </w:r>
      <w:proofErr w:type="gramStart"/>
      <w:r w:rsidRPr="000B72F1">
        <w:rPr>
          <w:rFonts w:ascii="Arial" w:hAnsi="Arial" w:cs="Arial"/>
        </w:rPr>
        <w:t>traditions</w:t>
      </w:r>
      <w:proofErr w:type="gramEnd"/>
      <w:r w:rsidRPr="000B72F1">
        <w:rPr>
          <w:rFonts w:ascii="Arial" w:hAnsi="Arial" w:cs="Arial"/>
        </w:rPr>
        <w:t xml:space="preserve"> and language</w:t>
      </w:r>
    </w:p>
    <w:p w14:paraId="44623128" w14:textId="600C00B7" w:rsidR="00BA5B24" w:rsidRPr="000B72F1" w:rsidRDefault="003756AF" w:rsidP="00BA5B24">
      <w:pPr>
        <w:pStyle w:val="ListParagraph"/>
        <w:numPr>
          <w:ilvl w:val="0"/>
          <w:numId w:val="2"/>
        </w:numPr>
        <w:spacing w:after="120"/>
        <w:ind w:left="357" w:hanging="357"/>
        <w:rPr>
          <w:rFonts w:ascii="Arial" w:hAnsi="Arial" w:cs="Arial"/>
        </w:rPr>
      </w:pPr>
      <w:r w:rsidRPr="000B72F1">
        <w:rPr>
          <w:rFonts w:ascii="Arial" w:hAnsi="Arial" w:cs="Arial"/>
        </w:rPr>
        <w:t xml:space="preserve">child to know, explore and maintain their own identity and values, including their cultural, </w:t>
      </w:r>
      <w:proofErr w:type="gramStart"/>
      <w:r w:rsidRPr="000B72F1">
        <w:rPr>
          <w:rFonts w:ascii="Arial" w:hAnsi="Arial" w:cs="Arial"/>
        </w:rPr>
        <w:t>ethnic</w:t>
      </w:r>
      <w:proofErr w:type="gramEnd"/>
      <w:r w:rsidRPr="000B72F1">
        <w:rPr>
          <w:rFonts w:ascii="Arial" w:hAnsi="Arial" w:cs="Arial"/>
        </w:rPr>
        <w:t xml:space="preserve"> and religious identity and values (section 5B(l) of the Act)</w:t>
      </w:r>
    </w:p>
    <w:p w14:paraId="06049B42" w14:textId="77777777" w:rsidR="00BA5B24" w:rsidRPr="000B72F1" w:rsidRDefault="003756AF" w:rsidP="00BA5B24">
      <w:pPr>
        <w:pStyle w:val="ListParagraph"/>
        <w:numPr>
          <w:ilvl w:val="0"/>
          <w:numId w:val="2"/>
        </w:numPr>
        <w:spacing w:after="120"/>
        <w:ind w:left="357" w:hanging="357"/>
        <w:rPr>
          <w:rFonts w:ascii="Arial" w:hAnsi="Arial" w:cs="Arial"/>
        </w:rPr>
      </w:pPr>
      <w:r w:rsidRPr="000B72F1">
        <w:rPr>
          <w:rFonts w:ascii="Arial" w:hAnsi="Arial" w:cs="Arial"/>
        </w:rPr>
        <w:lastRenderedPageBreak/>
        <w:t>continuity and strengthening of relationships with other persons of significance, such as friends, people in their community networks, school friends or a medical professional</w:t>
      </w:r>
    </w:p>
    <w:p w14:paraId="79C4F0A4" w14:textId="77777777" w:rsidR="00BA5B24" w:rsidRPr="000B72F1" w:rsidRDefault="003756AF" w:rsidP="00BA5B24">
      <w:pPr>
        <w:pStyle w:val="ListParagraph"/>
        <w:numPr>
          <w:ilvl w:val="0"/>
          <w:numId w:val="2"/>
        </w:numPr>
        <w:spacing w:after="120"/>
        <w:ind w:left="357" w:hanging="357"/>
        <w:rPr>
          <w:rFonts w:ascii="Arial" w:hAnsi="Arial" w:cs="Arial"/>
        </w:rPr>
      </w:pPr>
      <w:r w:rsidRPr="000B72F1">
        <w:rPr>
          <w:rFonts w:ascii="Arial" w:hAnsi="Arial" w:cs="Arial"/>
        </w:rPr>
        <w:t xml:space="preserve">child to have ongoing involvement in clubs, associations, religious </w:t>
      </w:r>
      <w:proofErr w:type="gramStart"/>
      <w:r w:rsidRPr="000B72F1">
        <w:rPr>
          <w:rFonts w:ascii="Arial" w:hAnsi="Arial" w:cs="Arial"/>
        </w:rPr>
        <w:t>institutions</w:t>
      </w:r>
      <w:proofErr w:type="gramEnd"/>
      <w:r w:rsidRPr="000B72F1">
        <w:rPr>
          <w:rFonts w:ascii="Arial" w:hAnsi="Arial" w:cs="Arial"/>
        </w:rPr>
        <w:t xml:space="preserve"> and other activities</w:t>
      </w:r>
    </w:p>
    <w:p w14:paraId="1350B03A" w14:textId="77777777" w:rsidR="00BA5B24" w:rsidRPr="000B72F1" w:rsidRDefault="003756AF" w:rsidP="00BA5B24">
      <w:pPr>
        <w:pStyle w:val="ListParagraph"/>
        <w:numPr>
          <w:ilvl w:val="0"/>
          <w:numId w:val="2"/>
        </w:numPr>
        <w:spacing w:after="120"/>
        <w:ind w:left="357" w:hanging="357"/>
        <w:rPr>
          <w:rFonts w:ascii="Arial" w:hAnsi="Arial" w:cs="Arial"/>
        </w:rPr>
      </w:pPr>
      <w:r w:rsidRPr="000B72F1">
        <w:rPr>
          <w:rFonts w:ascii="Arial" w:hAnsi="Arial" w:cs="Arial"/>
        </w:rPr>
        <w:t>continuity of schooling, including childcare arrangements and access to additional supports the child needs to maintain continuity</w:t>
      </w:r>
    </w:p>
    <w:p w14:paraId="1985633C" w14:textId="77777777" w:rsidR="00BA5B24" w:rsidRPr="000B72F1" w:rsidRDefault="003756AF" w:rsidP="00BA5B24">
      <w:pPr>
        <w:pStyle w:val="ListParagraph"/>
        <w:numPr>
          <w:ilvl w:val="0"/>
          <w:numId w:val="2"/>
        </w:numPr>
        <w:spacing w:after="120"/>
        <w:ind w:left="357" w:hanging="357"/>
        <w:rPr>
          <w:rFonts w:ascii="Arial" w:hAnsi="Arial" w:cs="Arial"/>
        </w:rPr>
      </w:pPr>
      <w:r w:rsidRPr="000B72F1">
        <w:rPr>
          <w:rFonts w:ascii="Arial" w:hAnsi="Arial" w:cs="Arial"/>
        </w:rPr>
        <w:t>continuity of health care providers, particularly where children are regularly accessing specialist or culturally appropriate health care providers for ongoing health needs</w:t>
      </w:r>
    </w:p>
    <w:p w14:paraId="2D3CB72F" w14:textId="77777777" w:rsidR="00BA5B24" w:rsidRPr="000B72F1" w:rsidRDefault="003756AF" w:rsidP="00BA5B24">
      <w:pPr>
        <w:pStyle w:val="ListParagraph"/>
        <w:numPr>
          <w:ilvl w:val="0"/>
          <w:numId w:val="2"/>
        </w:numPr>
        <w:spacing w:after="120"/>
        <w:ind w:left="360"/>
        <w:rPr>
          <w:rFonts w:ascii="Arial" w:hAnsi="Arial" w:cs="Arial"/>
        </w:rPr>
      </w:pPr>
      <w:r w:rsidRPr="000B72F1">
        <w:rPr>
          <w:rFonts w:ascii="Arial" w:hAnsi="Arial" w:cs="Arial"/>
        </w:rPr>
        <w:t>child to remain living within or connected to their local community.</w:t>
      </w:r>
    </w:p>
    <w:p w14:paraId="0D4C5D5E" w14:textId="77777777" w:rsidR="00BA5B24" w:rsidRPr="000B72F1" w:rsidRDefault="003756AF" w:rsidP="00BA5B24">
      <w:pPr>
        <w:spacing w:after="120"/>
        <w:rPr>
          <w:rFonts w:cs="Arial"/>
          <w:szCs w:val="22"/>
        </w:rPr>
      </w:pPr>
      <w:r w:rsidRPr="000B72F1">
        <w:rPr>
          <w:rFonts w:cs="Arial"/>
          <w:szCs w:val="22"/>
        </w:rPr>
        <w:t xml:space="preserve">In addition, Child Safety will also consider the extent to which an action or order upholds the child’s rights under the </w:t>
      </w:r>
      <w:r w:rsidRPr="000B72F1">
        <w:rPr>
          <w:rFonts w:cs="Arial"/>
          <w:i/>
          <w:iCs/>
          <w:szCs w:val="22"/>
        </w:rPr>
        <w:t>Human Rights Act 2019</w:t>
      </w:r>
      <w:r w:rsidRPr="000B72F1">
        <w:rPr>
          <w:rFonts w:cs="Arial"/>
          <w:szCs w:val="22"/>
        </w:rPr>
        <w:t>.</w:t>
      </w:r>
    </w:p>
    <w:p w14:paraId="45A6AA14" w14:textId="77777777" w:rsidR="00BA5B24" w:rsidRPr="000B72F1" w:rsidRDefault="00BA5B24" w:rsidP="00BA5B24">
      <w:pPr>
        <w:spacing w:after="120"/>
        <w:rPr>
          <w:rFonts w:cs="Arial"/>
          <w:szCs w:val="22"/>
        </w:rPr>
      </w:pPr>
    </w:p>
    <w:p w14:paraId="25D78D52" w14:textId="77777777" w:rsidR="00BA5B24" w:rsidRPr="000B72F1" w:rsidRDefault="003756AF" w:rsidP="00BA5B24">
      <w:pPr>
        <w:spacing w:after="120"/>
        <w:rPr>
          <w:rFonts w:cs="Arial"/>
          <w:b/>
          <w:bCs/>
          <w:szCs w:val="22"/>
        </w:rPr>
      </w:pPr>
      <w:r w:rsidRPr="000B72F1">
        <w:rPr>
          <w:rFonts w:cs="Arial"/>
          <w:b/>
          <w:bCs/>
          <w:szCs w:val="22"/>
        </w:rPr>
        <w:t>Achieving permanency for non- Aboriginal and Torres Strait Islander children</w:t>
      </w:r>
    </w:p>
    <w:p w14:paraId="59554446" w14:textId="47844977" w:rsidR="00BA5B24" w:rsidRPr="000B72F1" w:rsidRDefault="003756AF" w:rsidP="00BA5B24">
      <w:pPr>
        <w:spacing w:after="120"/>
        <w:rPr>
          <w:rFonts w:cs="Arial"/>
        </w:rPr>
      </w:pPr>
      <w:r w:rsidRPr="000B72F1">
        <w:rPr>
          <w:rFonts w:cs="Arial"/>
        </w:rPr>
        <w:t xml:space="preserve">In addition to the considerations prescribed in </w:t>
      </w:r>
      <w:hyperlink r:id="rId8" w:anchor="sec.5BA" w:history="1">
        <w:r w:rsidRPr="000B72F1">
          <w:rPr>
            <w:rStyle w:val="Hyperlink"/>
            <w:rFonts w:cs="Arial"/>
          </w:rPr>
          <w:t>section 5BA(2)</w:t>
        </w:r>
      </w:hyperlink>
      <w:r w:rsidRPr="000B72F1">
        <w:rPr>
          <w:rFonts w:cs="Arial"/>
        </w:rPr>
        <w:t xml:space="preserve"> of the Act, when determining the action or order that would best achieve permanency for a non-Aboriginal or Torres Strait Islander child, Child Safety will consider other statutory requirements, including:</w:t>
      </w:r>
    </w:p>
    <w:p w14:paraId="37292831" w14:textId="77777777" w:rsidR="00BA5B24" w:rsidRPr="000B72F1" w:rsidRDefault="003756AF" w:rsidP="00BA5B24">
      <w:pPr>
        <w:pStyle w:val="ListParagraph"/>
        <w:numPr>
          <w:ilvl w:val="0"/>
          <w:numId w:val="2"/>
        </w:numPr>
        <w:spacing w:after="120"/>
        <w:ind w:left="360"/>
        <w:rPr>
          <w:rFonts w:ascii="Arial" w:hAnsi="Arial" w:cs="Arial"/>
        </w:rPr>
      </w:pPr>
      <w:r w:rsidRPr="000B72F1">
        <w:rPr>
          <w:rFonts w:ascii="Arial" w:hAnsi="Arial" w:cs="Arial"/>
        </w:rPr>
        <w:t>the principle that the first preference is for the child to be cared for by the child’s family</w:t>
      </w:r>
    </w:p>
    <w:p w14:paraId="40F7B5D2" w14:textId="77777777" w:rsidR="00BA5B24" w:rsidRPr="000B72F1" w:rsidRDefault="003756AF" w:rsidP="00BA5B24">
      <w:pPr>
        <w:pStyle w:val="ListParagraph"/>
        <w:numPr>
          <w:ilvl w:val="0"/>
          <w:numId w:val="2"/>
        </w:numPr>
        <w:spacing w:after="120"/>
        <w:ind w:left="360"/>
        <w:rPr>
          <w:rFonts w:ascii="Arial" w:hAnsi="Arial" w:cs="Arial"/>
        </w:rPr>
      </w:pPr>
      <w:r w:rsidRPr="000B72F1">
        <w:rPr>
          <w:rFonts w:ascii="Arial" w:hAnsi="Arial" w:cs="Arial"/>
        </w:rPr>
        <w:t>the principle that the second preference is for the child to be cared for under the guardianship of a person who is a member of the child’s family, other than a parent of the child, or another suitable person</w:t>
      </w:r>
    </w:p>
    <w:p w14:paraId="7A0700D8" w14:textId="77777777" w:rsidR="00BA5B24" w:rsidRPr="000B72F1" w:rsidRDefault="003756AF" w:rsidP="00BA5B24">
      <w:pPr>
        <w:pStyle w:val="ListParagraph"/>
        <w:numPr>
          <w:ilvl w:val="0"/>
          <w:numId w:val="2"/>
        </w:numPr>
        <w:spacing w:after="120"/>
        <w:ind w:left="360"/>
        <w:rPr>
          <w:rFonts w:ascii="Arial" w:eastAsia="Times New Roman" w:hAnsi="Arial" w:cs="Arial"/>
          <w:i/>
          <w:iCs/>
        </w:rPr>
      </w:pPr>
      <w:r w:rsidRPr="000B72F1">
        <w:rPr>
          <w:rFonts w:ascii="Arial" w:hAnsi="Arial" w:cs="Arial"/>
        </w:rPr>
        <w:t xml:space="preserve">the principle that the third preference is for the child to be adopted under the </w:t>
      </w:r>
      <w:r w:rsidRPr="000B72F1">
        <w:rPr>
          <w:rFonts w:ascii="Arial" w:hAnsi="Arial" w:cs="Arial"/>
          <w:i/>
          <w:iCs/>
        </w:rPr>
        <w:t>Adoption of Children Act 2009</w:t>
      </w:r>
    </w:p>
    <w:p w14:paraId="79B84A36" w14:textId="77777777" w:rsidR="00BA5B24" w:rsidRPr="000B72F1" w:rsidRDefault="003756AF" w:rsidP="00BA5B24">
      <w:pPr>
        <w:pStyle w:val="ListParagraph"/>
        <w:numPr>
          <w:ilvl w:val="0"/>
          <w:numId w:val="2"/>
        </w:numPr>
        <w:spacing w:after="120"/>
        <w:ind w:left="360"/>
        <w:rPr>
          <w:rFonts w:ascii="Arial" w:eastAsia="Times New Roman" w:hAnsi="Arial" w:cs="Arial"/>
        </w:rPr>
      </w:pPr>
      <w:r w:rsidRPr="000B72F1">
        <w:rPr>
          <w:rFonts w:ascii="Arial" w:hAnsi="Arial" w:cs="Arial"/>
        </w:rPr>
        <w:t xml:space="preserve">the principle that the last preference is for the child to be </w:t>
      </w:r>
      <w:r w:rsidRPr="000B72F1">
        <w:rPr>
          <w:rFonts w:ascii="Arial" w:eastAsia="Times New Roman" w:hAnsi="Arial" w:cs="Arial"/>
        </w:rPr>
        <w:t>cared for under the guardianship of the chief executive.</w:t>
      </w:r>
    </w:p>
    <w:p w14:paraId="6ABEB195" w14:textId="77777777" w:rsidR="00BA5B24" w:rsidRPr="000B72F1" w:rsidRDefault="003756AF" w:rsidP="00BA5B24">
      <w:pPr>
        <w:spacing w:after="120"/>
        <w:rPr>
          <w:rFonts w:cs="Arial"/>
          <w:szCs w:val="22"/>
        </w:rPr>
      </w:pPr>
      <w:r w:rsidRPr="000B72F1">
        <w:rPr>
          <w:rFonts w:cs="Arial"/>
          <w:szCs w:val="22"/>
        </w:rPr>
        <w:t>The order of preferences for achieving permanency for a non-Aboriginal or Torres Strait Islander child will be considered in context with all statutory requirements, and the child’s specific permanency needs, and will not be the sole consideration in identifying the option that best achieves permanency for a child.</w:t>
      </w:r>
    </w:p>
    <w:p w14:paraId="30AFA142" w14:textId="77777777" w:rsidR="00BA5B24" w:rsidRPr="000B72F1" w:rsidRDefault="00BA5B24" w:rsidP="00BA5B24">
      <w:pPr>
        <w:spacing w:after="120"/>
        <w:rPr>
          <w:rFonts w:cs="Arial"/>
          <w:szCs w:val="22"/>
        </w:rPr>
      </w:pPr>
    </w:p>
    <w:p w14:paraId="5CCA2BAE" w14:textId="77777777" w:rsidR="00BA5B24" w:rsidRPr="000B72F1" w:rsidRDefault="003756AF" w:rsidP="00BA5B24">
      <w:pPr>
        <w:spacing w:after="120"/>
        <w:rPr>
          <w:rFonts w:cs="Arial"/>
          <w:b/>
          <w:bCs/>
          <w:szCs w:val="22"/>
        </w:rPr>
      </w:pPr>
      <w:r w:rsidRPr="000B72F1">
        <w:rPr>
          <w:rFonts w:cs="Arial"/>
          <w:b/>
          <w:bCs/>
          <w:szCs w:val="22"/>
        </w:rPr>
        <w:t>Aboriginal and Torres Strait Islander children</w:t>
      </w:r>
    </w:p>
    <w:p w14:paraId="52FA8FB8" w14:textId="6ACDD3B7" w:rsidR="00BA5B24" w:rsidRPr="000B72F1" w:rsidRDefault="003756AF" w:rsidP="00BA5B24">
      <w:pPr>
        <w:spacing w:after="120"/>
        <w:rPr>
          <w:rFonts w:cs="Arial"/>
        </w:rPr>
      </w:pPr>
      <w:r w:rsidRPr="000B72F1">
        <w:rPr>
          <w:rFonts w:cs="Arial"/>
        </w:rPr>
        <w:t xml:space="preserve">In addition to considering the statutory requirements that apply to all children prescribed in </w:t>
      </w:r>
      <w:hyperlink r:id="rId9" w:anchor="sec.5BA" w:history="1">
        <w:r w:rsidRPr="000B72F1">
          <w:rPr>
            <w:rStyle w:val="Hyperlink"/>
            <w:rFonts w:cs="Arial"/>
          </w:rPr>
          <w:t>section 5BA(2)</w:t>
        </w:r>
      </w:hyperlink>
      <w:r w:rsidRPr="000B72F1">
        <w:rPr>
          <w:rFonts w:cs="Arial"/>
        </w:rPr>
        <w:t xml:space="preserve"> of the Act, when determining the action or order that would best achieve permanency for an </w:t>
      </w:r>
      <w:bookmarkStart w:id="0" w:name="_Hlk87628248"/>
      <w:r w:rsidRPr="000B72F1">
        <w:rPr>
          <w:rFonts w:cs="Arial"/>
        </w:rPr>
        <w:t>Aboriginal or Torres Strait Islander child</w:t>
      </w:r>
      <w:bookmarkEnd w:id="0"/>
      <w:r w:rsidRPr="000B72F1">
        <w:rPr>
          <w:rFonts w:cs="Arial"/>
        </w:rPr>
        <w:t>, Child Safety will also consider:</w:t>
      </w:r>
    </w:p>
    <w:p w14:paraId="71687A0E" w14:textId="77777777" w:rsidR="00BA5B24" w:rsidRPr="000B72F1" w:rsidRDefault="003756AF" w:rsidP="00BA5B24">
      <w:pPr>
        <w:pStyle w:val="ListParagraph"/>
        <w:numPr>
          <w:ilvl w:val="0"/>
          <w:numId w:val="2"/>
        </w:numPr>
        <w:spacing w:after="120"/>
        <w:ind w:left="360"/>
        <w:rPr>
          <w:rFonts w:ascii="Arial" w:eastAsia="Times New Roman" w:hAnsi="Arial" w:cs="Arial"/>
        </w:rPr>
      </w:pPr>
      <w:r w:rsidRPr="000B72F1">
        <w:rPr>
          <w:rFonts w:ascii="Arial" w:eastAsia="Times New Roman" w:hAnsi="Arial" w:cs="Arial"/>
        </w:rPr>
        <w:t>what long-term effect each option would have on the child’s identity and connection with the child’s family and community</w:t>
      </w:r>
    </w:p>
    <w:p w14:paraId="501F60B9" w14:textId="32E4ECB0" w:rsidR="00BA5B24" w:rsidRPr="000B72F1" w:rsidRDefault="003756AF" w:rsidP="00BA5B24">
      <w:pPr>
        <w:pStyle w:val="ListParagraph"/>
        <w:numPr>
          <w:ilvl w:val="0"/>
          <w:numId w:val="2"/>
        </w:numPr>
        <w:spacing w:after="120"/>
        <w:ind w:left="360"/>
        <w:rPr>
          <w:rFonts w:ascii="Arial" w:eastAsia="Times New Roman" w:hAnsi="Arial" w:cs="Arial"/>
        </w:rPr>
      </w:pPr>
      <w:r w:rsidRPr="000B72F1">
        <w:rPr>
          <w:rFonts w:ascii="Arial" w:eastAsia="Times New Roman" w:hAnsi="Arial" w:cs="Arial"/>
        </w:rPr>
        <w:t xml:space="preserve">the extent to which active efforts have been made to apply the </w:t>
      </w:r>
      <w:hyperlink r:id="rId10" w:anchor="sec.5C" w:history="1">
        <w:r w:rsidRPr="000B72F1">
          <w:rPr>
            <w:rStyle w:val="Hyperlink"/>
            <w:rFonts w:ascii="Arial" w:eastAsia="Times New Roman" w:hAnsi="Arial" w:cs="Arial"/>
          </w:rPr>
          <w:t>Aboriginal and Torres Strait Islander Child Placement Principle</w:t>
        </w:r>
      </w:hyperlink>
      <w:r w:rsidRPr="000B72F1">
        <w:rPr>
          <w:rFonts w:ascii="Arial" w:eastAsia="Times New Roman" w:hAnsi="Arial" w:cs="Arial"/>
        </w:rPr>
        <w:t xml:space="preserve"> in decision making, to uphold</w:t>
      </w:r>
      <w:r w:rsidR="005D5777" w:rsidRPr="000B72F1">
        <w:rPr>
          <w:rFonts w:ascii="Arial" w:eastAsia="Times New Roman" w:hAnsi="Arial" w:cs="Arial"/>
        </w:rPr>
        <w:t>:</w:t>
      </w:r>
    </w:p>
    <w:p w14:paraId="5ECE79F0" w14:textId="77777777" w:rsidR="00BA5B24" w:rsidRPr="000B72F1" w:rsidRDefault="003756AF" w:rsidP="00BA5B24">
      <w:pPr>
        <w:pStyle w:val="ListParagraph"/>
        <w:numPr>
          <w:ilvl w:val="0"/>
          <w:numId w:val="4"/>
        </w:numPr>
        <w:spacing w:after="120"/>
        <w:ind w:left="714" w:hanging="357"/>
        <w:rPr>
          <w:rFonts w:ascii="Arial" w:hAnsi="Arial" w:cs="Arial"/>
        </w:rPr>
      </w:pPr>
      <w:r w:rsidRPr="000B72F1">
        <w:rPr>
          <w:rFonts w:ascii="Arial" w:hAnsi="Arial" w:cs="Arial"/>
        </w:rPr>
        <w:t>the child’s right to be brought up within the child’s own family and community</w:t>
      </w:r>
    </w:p>
    <w:p w14:paraId="3228D922" w14:textId="75400B23" w:rsidR="00BA5B24" w:rsidRPr="000B72F1" w:rsidRDefault="003756AF" w:rsidP="00BA5B24">
      <w:pPr>
        <w:pStyle w:val="ListParagraph"/>
        <w:numPr>
          <w:ilvl w:val="0"/>
          <w:numId w:val="4"/>
        </w:numPr>
        <w:spacing w:after="120"/>
        <w:ind w:left="714" w:hanging="357"/>
        <w:rPr>
          <w:rFonts w:ascii="Arial" w:hAnsi="Arial" w:cs="Arial"/>
        </w:rPr>
      </w:pPr>
      <w:r w:rsidRPr="000B72F1">
        <w:rPr>
          <w:rFonts w:ascii="Arial" w:hAnsi="Arial" w:cs="Arial"/>
        </w:rPr>
        <w:t>Aboriginal or Torres Strait Islander persons’ right to participate in significant decisions under the Act about Aboriginal or Torres Strait Islander children</w:t>
      </w:r>
    </w:p>
    <w:p w14:paraId="641ECB3C" w14:textId="77777777" w:rsidR="00BA5B24" w:rsidRPr="000B72F1" w:rsidRDefault="003756AF" w:rsidP="00BA5B24">
      <w:pPr>
        <w:pStyle w:val="ListParagraph"/>
        <w:numPr>
          <w:ilvl w:val="0"/>
          <w:numId w:val="4"/>
        </w:numPr>
        <w:spacing w:after="120"/>
        <w:ind w:left="714" w:hanging="357"/>
        <w:rPr>
          <w:rFonts w:ascii="Arial" w:hAnsi="Arial" w:cs="Arial"/>
        </w:rPr>
      </w:pPr>
      <w:r w:rsidRPr="000B72F1">
        <w:rPr>
          <w:rFonts w:ascii="Arial" w:hAnsi="Arial" w:cs="Arial"/>
        </w:rPr>
        <w:lastRenderedPageBreak/>
        <w:t>if a child is to be placed in care, the child’s right to be placed with a member of the child’s family group</w:t>
      </w:r>
    </w:p>
    <w:p w14:paraId="0C67AD7E" w14:textId="77777777" w:rsidR="00BA5B24" w:rsidRPr="000B72F1" w:rsidRDefault="003756AF" w:rsidP="00BA5B24">
      <w:pPr>
        <w:pStyle w:val="ListParagraph"/>
        <w:numPr>
          <w:ilvl w:val="0"/>
          <w:numId w:val="4"/>
        </w:numPr>
        <w:spacing w:after="120"/>
        <w:ind w:left="714" w:hanging="357"/>
        <w:rPr>
          <w:rFonts w:ascii="Arial" w:hAnsi="Arial" w:cs="Arial"/>
        </w:rPr>
      </w:pPr>
      <w:r w:rsidRPr="000B72F1">
        <w:rPr>
          <w:rFonts w:ascii="Arial" w:hAnsi="Arial" w:cs="Arial"/>
        </w:rPr>
        <w:t>the child and the child’s parents’ and family members’ right to participate, and be enabled to participate, in an administrative or judicial process for making a significant decision about the child</w:t>
      </w:r>
    </w:p>
    <w:p w14:paraId="00777572" w14:textId="77777777" w:rsidR="00BA5B24" w:rsidRPr="000B72F1" w:rsidRDefault="003756AF" w:rsidP="00BA5B24">
      <w:pPr>
        <w:pStyle w:val="ListParagraph"/>
        <w:numPr>
          <w:ilvl w:val="0"/>
          <w:numId w:val="4"/>
        </w:numPr>
        <w:spacing w:after="120"/>
        <w:ind w:left="714" w:hanging="357"/>
        <w:rPr>
          <w:rFonts w:ascii="Arial" w:hAnsi="Arial" w:cs="Arial"/>
        </w:rPr>
      </w:pPr>
      <w:r w:rsidRPr="000B72F1">
        <w:rPr>
          <w:rFonts w:ascii="Arial" w:hAnsi="Arial" w:cs="Arial"/>
        </w:rPr>
        <w:t xml:space="preserve">the child’s right to be supported to develop and maintain a connection with the child’s family, community, culture, </w:t>
      </w:r>
      <w:proofErr w:type="gramStart"/>
      <w:r w:rsidRPr="000B72F1">
        <w:rPr>
          <w:rFonts w:ascii="Arial" w:hAnsi="Arial" w:cs="Arial"/>
        </w:rPr>
        <w:t>traditions</w:t>
      </w:r>
      <w:proofErr w:type="gramEnd"/>
      <w:r w:rsidRPr="000B72F1">
        <w:rPr>
          <w:rFonts w:ascii="Arial" w:hAnsi="Arial" w:cs="Arial"/>
        </w:rPr>
        <w:t xml:space="preserve"> and language, particularly when the child is in the care of a person who is not an Aboriginal or Torres Strait Islander person.</w:t>
      </w:r>
    </w:p>
    <w:p w14:paraId="01E15283" w14:textId="6AAFAF37" w:rsidR="00BA5B24" w:rsidRPr="000B72F1" w:rsidRDefault="003756AF" w:rsidP="00BA5B24">
      <w:pPr>
        <w:pStyle w:val="ListParagraph"/>
        <w:numPr>
          <w:ilvl w:val="0"/>
          <w:numId w:val="2"/>
        </w:numPr>
        <w:spacing w:after="120"/>
        <w:ind w:left="360"/>
        <w:rPr>
          <w:rFonts w:ascii="Arial" w:eastAsia="Times New Roman" w:hAnsi="Arial" w:cs="Arial"/>
        </w:rPr>
      </w:pPr>
      <w:bookmarkStart w:id="1" w:name="_Hlk89683983"/>
      <w:r w:rsidRPr="000B72F1">
        <w:rPr>
          <w:rFonts w:ascii="Arial" w:eastAsia="Times New Roman" w:hAnsi="Arial" w:cs="Arial"/>
        </w:rPr>
        <w:t xml:space="preserve">provisions for placing Aboriginal and Torres Strait Islander children in care, </w:t>
      </w:r>
      <w:hyperlink r:id="rId11" w:anchor="sec.83" w:history="1">
        <w:r w:rsidR="005D5777" w:rsidRPr="000B72F1">
          <w:rPr>
            <w:rStyle w:val="Hyperlink"/>
            <w:rFonts w:ascii="Arial" w:hAnsi="Arial" w:cs="Arial"/>
          </w:rPr>
          <w:t>section 83</w:t>
        </w:r>
      </w:hyperlink>
      <w:r w:rsidR="005D5777" w:rsidRPr="000B72F1">
        <w:rPr>
          <w:rFonts w:ascii="Arial" w:eastAsia="Times New Roman" w:hAnsi="Arial" w:cs="Arial"/>
        </w:rPr>
        <w:t xml:space="preserve"> </w:t>
      </w:r>
      <w:r w:rsidRPr="000B72F1">
        <w:rPr>
          <w:rFonts w:ascii="Arial" w:eastAsia="Times New Roman" w:hAnsi="Arial" w:cs="Arial"/>
        </w:rPr>
        <w:t xml:space="preserve">of the Act </w:t>
      </w:r>
    </w:p>
    <w:bookmarkEnd w:id="1"/>
    <w:p w14:paraId="3C2712A1" w14:textId="77777777" w:rsidR="00BA5B24" w:rsidRPr="000B72F1" w:rsidRDefault="003756AF" w:rsidP="00BA5B24">
      <w:pPr>
        <w:pStyle w:val="ListParagraph"/>
        <w:numPr>
          <w:ilvl w:val="0"/>
          <w:numId w:val="2"/>
        </w:numPr>
        <w:spacing w:after="120"/>
        <w:ind w:left="360"/>
        <w:rPr>
          <w:rFonts w:ascii="Arial" w:eastAsia="Times New Roman" w:hAnsi="Arial" w:cs="Arial"/>
        </w:rPr>
      </w:pPr>
      <w:r w:rsidRPr="000B72F1">
        <w:rPr>
          <w:rFonts w:ascii="Arial" w:eastAsia="Times New Roman" w:hAnsi="Arial" w:cs="Arial"/>
        </w:rPr>
        <w:t xml:space="preserve">the extent to which each option upholds the child’s rights under the </w:t>
      </w:r>
      <w:r w:rsidRPr="000B72F1">
        <w:rPr>
          <w:rFonts w:ascii="Arial" w:eastAsia="Times New Roman" w:hAnsi="Arial" w:cs="Arial"/>
          <w:i/>
          <w:iCs/>
        </w:rPr>
        <w:t>Human Rights Act 2019</w:t>
      </w:r>
    </w:p>
    <w:p w14:paraId="420281D1" w14:textId="77777777" w:rsidR="00BA5B24" w:rsidRPr="000B72F1" w:rsidRDefault="003756AF" w:rsidP="00BA5B24">
      <w:pPr>
        <w:pStyle w:val="ListParagraph"/>
        <w:numPr>
          <w:ilvl w:val="0"/>
          <w:numId w:val="2"/>
        </w:numPr>
        <w:spacing w:after="120"/>
        <w:ind w:left="360"/>
        <w:rPr>
          <w:rFonts w:ascii="Arial" w:eastAsia="Times New Roman" w:hAnsi="Arial" w:cs="Arial"/>
        </w:rPr>
      </w:pPr>
      <w:r w:rsidRPr="000B72F1">
        <w:rPr>
          <w:rFonts w:ascii="Arial" w:eastAsia="Times New Roman" w:hAnsi="Arial" w:cs="Arial"/>
        </w:rPr>
        <w:t>the principle that the first preference is for the child to be cared for by the child’s family</w:t>
      </w:r>
    </w:p>
    <w:p w14:paraId="753AF98D" w14:textId="77777777" w:rsidR="00BA5B24" w:rsidRPr="000B72F1" w:rsidRDefault="003756AF" w:rsidP="00BA5B24">
      <w:pPr>
        <w:pStyle w:val="ListParagraph"/>
        <w:numPr>
          <w:ilvl w:val="0"/>
          <w:numId w:val="2"/>
        </w:numPr>
        <w:spacing w:after="120"/>
        <w:ind w:left="360"/>
        <w:rPr>
          <w:rFonts w:ascii="Arial" w:eastAsia="Times New Roman" w:hAnsi="Arial" w:cs="Arial"/>
        </w:rPr>
      </w:pPr>
      <w:r w:rsidRPr="000B72F1">
        <w:rPr>
          <w:rFonts w:ascii="Arial" w:eastAsia="Times New Roman" w:hAnsi="Arial" w:cs="Arial"/>
        </w:rPr>
        <w:t>the principle that the second preference is for the child to be cared for under the guardianship of a person who is a member of the child’s family, other than a parent of the child, or another suitable person</w:t>
      </w:r>
    </w:p>
    <w:p w14:paraId="72849320" w14:textId="77777777" w:rsidR="00BA5B24" w:rsidRPr="000B72F1" w:rsidRDefault="003756AF" w:rsidP="00BA5B24">
      <w:pPr>
        <w:pStyle w:val="ListParagraph"/>
        <w:numPr>
          <w:ilvl w:val="0"/>
          <w:numId w:val="2"/>
        </w:numPr>
        <w:spacing w:after="120"/>
        <w:ind w:left="360"/>
        <w:rPr>
          <w:rFonts w:ascii="Arial" w:eastAsia="Times New Roman" w:hAnsi="Arial" w:cs="Arial"/>
        </w:rPr>
      </w:pPr>
      <w:r w:rsidRPr="000B72F1">
        <w:rPr>
          <w:rFonts w:ascii="Arial" w:eastAsia="Times New Roman" w:hAnsi="Arial" w:cs="Arial"/>
        </w:rPr>
        <w:t>the principle that the third preference is for the child to be cared for under the guardianship of the chief executive</w:t>
      </w:r>
    </w:p>
    <w:p w14:paraId="630D2B08" w14:textId="77777777" w:rsidR="00BA5B24" w:rsidRPr="000B72F1" w:rsidRDefault="003756AF" w:rsidP="00BA5B24">
      <w:pPr>
        <w:pStyle w:val="ListParagraph"/>
        <w:numPr>
          <w:ilvl w:val="0"/>
          <w:numId w:val="2"/>
        </w:numPr>
        <w:spacing w:after="120"/>
        <w:ind w:left="360"/>
        <w:rPr>
          <w:rFonts w:ascii="Arial" w:hAnsi="Arial" w:cs="Arial"/>
        </w:rPr>
      </w:pPr>
      <w:r w:rsidRPr="000B72F1">
        <w:rPr>
          <w:rFonts w:ascii="Arial" w:eastAsia="Times New Roman" w:hAnsi="Arial" w:cs="Arial"/>
        </w:rPr>
        <w:t xml:space="preserve">the principle that the last preference is for the child to be adopted under the </w:t>
      </w:r>
      <w:r w:rsidRPr="000B72F1">
        <w:rPr>
          <w:rFonts w:ascii="Arial" w:eastAsia="Times New Roman" w:hAnsi="Arial" w:cs="Arial"/>
          <w:i/>
          <w:iCs/>
        </w:rPr>
        <w:t>Adoption Act 2009.</w:t>
      </w:r>
    </w:p>
    <w:p w14:paraId="1D4BD492" w14:textId="77777777" w:rsidR="00BA5B24" w:rsidRPr="000B72F1" w:rsidRDefault="003756AF" w:rsidP="00BA5B24">
      <w:pPr>
        <w:spacing w:after="120"/>
        <w:rPr>
          <w:rFonts w:cs="Arial"/>
        </w:rPr>
      </w:pPr>
      <w:r w:rsidRPr="000B72F1">
        <w:rPr>
          <w:rFonts w:cs="Arial"/>
        </w:rPr>
        <w:t>The order of preferences for achieving permanency for an Aboriginal or Torres Strait Islander child will be considered in context with all statutory requirements, and the child’s specific permanency needs, and will not be the sole consideration in identifying the option that best achieves permanency for the child.</w:t>
      </w:r>
    </w:p>
    <w:p w14:paraId="0126AE8C" w14:textId="77777777" w:rsidR="00BA5B24" w:rsidRPr="000B72F1" w:rsidRDefault="00BA5B24" w:rsidP="00BA5B24">
      <w:pPr>
        <w:spacing w:after="120"/>
        <w:rPr>
          <w:rFonts w:cs="Arial"/>
        </w:rPr>
      </w:pPr>
    </w:p>
    <w:p w14:paraId="4402EB9A" w14:textId="77777777" w:rsidR="00BA5B24" w:rsidRPr="000B72F1" w:rsidRDefault="003756AF" w:rsidP="00BA5B24">
      <w:pPr>
        <w:spacing w:after="120"/>
        <w:rPr>
          <w:rFonts w:cs="Arial"/>
          <w:b/>
          <w:bCs/>
          <w:sz w:val="24"/>
          <w:szCs w:val="28"/>
        </w:rPr>
      </w:pPr>
      <w:r w:rsidRPr="000B72F1">
        <w:rPr>
          <w:rFonts w:cs="Arial"/>
          <w:b/>
          <w:bCs/>
          <w:sz w:val="24"/>
          <w:szCs w:val="28"/>
        </w:rPr>
        <w:t>Authority:</w:t>
      </w:r>
    </w:p>
    <w:p w14:paraId="3F155C5F" w14:textId="77777777" w:rsidR="00BA5B24" w:rsidRPr="000B72F1" w:rsidRDefault="003756AF" w:rsidP="00BA5B24">
      <w:pPr>
        <w:spacing w:after="120"/>
        <w:rPr>
          <w:rFonts w:cs="Arial"/>
          <w:i/>
          <w:iCs/>
        </w:rPr>
      </w:pPr>
      <w:r w:rsidRPr="000B72F1">
        <w:rPr>
          <w:rFonts w:cs="Arial"/>
          <w:i/>
          <w:iCs/>
        </w:rPr>
        <w:t>Adoption Act 2009</w:t>
      </w:r>
    </w:p>
    <w:p w14:paraId="31857D42" w14:textId="77777777" w:rsidR="00BA5B24" w:rsidRPr="000B72F1" w:rsidRDefault="003756AF" w:rsidP="00BA5B24">
      <w:pPr>
        <w:spacing w:after="120"/>
        <w:rPr>
          <w:rFonts w:cs="Arial"/>
          <w:i/>
          <w:iCs/>
        </w:rPr>
      </w:pPr>
      <w:r w:rsidRPr="000B72F1">
        <w:rPr>
          <w:rFonts w:cs="Arial"/>
          <w:i/>
          <w:iCs/>
        </w:rPr>
        <w:t>Child Protection Act 1999</w:t>
      </w:r>
    </w:p>
    <w:p w14:paraId="69231129" w14:textId="77777777" w:rsidR="00BA5B24" w:rsidRPr="000B72F1" w:rsidRDefault="003756AF" w:rsidP="00BA5B24">
      <w:pPr>
        <w:spacing w:after="120"/>
        <w:rPr>
          <w:rFonts w:cs="Arial"/>
          <w:i/>
          <w:iCs/>
        </w:rPr>
      </w:pPr>
      <w:r w:rsidRPr="000B72F1">
        <w:rPr>
          <w:rFonts w:cs="Arial"/>
          <w:i/>
          <w:iCs/>
        </w:rPr>
        <w:t>Human Rights Act 2019</w:t>
      </w:r>
    </w:p>
    <w:p w14:paraId="015636FA" w14:textId="77777777" w:rsidR="00BA5B24" w:rsidRPr="000B72F1" w:rsidRDefault="00BA5B24" w:rsidP="00BA5B24">
      <w:pPr>
        <w:spacing w:after="120"/>
        <w:rPr>
          <w:rFonts w:cs="Arial"/>
        </w:rPr>
      </w:pPr>
    </w:p>
    <w:p w14:paraId="6387C991" w14:textId="77777777" w:rsidR="00BA5B24" w:rsidRPr="000B72F1" w:rsidRDefault="003756AF" w:rsidP="00BA5B24">
      <w:pPr>
        <w:spacing w:after="120"/>
        <w:rPr>
          <w:rFonts w:cs="Arial"/>
          <w:b/>
          <w:bCs/>
          <w:sz w:val="24"/>
          <w:szCs w:val="28"/>
        </w:rPr>
      </w:pPr>
      <w:r w:rsidRPr="000B72F1">
        <w:rPr>
          <w:rFonts w:cs="Arial"/>
          <w:b/>
          <w:bCs/>
          <w:sz w:val="24"/>
          <w:szCs w:val="28"/>
        </w:rPr>
        <w:t>Delegations:</w:t>
      </w:r>
    </w:p>
    <w:p w14:paraId="6B4CBB15" w14:textId="77777777" w:rsidR="00BA5B24" w:rsidRPr="000B72F1" w:rsidRDefault="003756AF" w:rsidP="00BA5B24">
      <w:pPr>
        <w:spacing w:after="120"/>
        <w:rPr>
          <w:rFonts w:cs="Arial"/>
        </w:rPr>
      </w:pPr>
      <w:r w:rsidRPr="000B72F1">
        <w:rPr>
          <w:rFonts w:cs="Arial"/>
        </w:rPr>
        <w:t xml:space="preserve">Refer to instruments of delegation for delegations relevant to permanency planning </w:t>
      </w:r>
      <w:r w:rsidRPr="000B72F1">
        <w:rPr>
          <w:rFonts w:cs="Arial"/>
        </w:rPr>
        <w:br/>
        <w:t>decision-making.</w:t>
      </w:r>
    </w:p>
    <w:p w14:paraId="79B20026" w14:textId="51E498D4" w:rsidR="00BA5B24" w:rsidRPr="000B72F1" w:rsidRDefault="00BA5B24" w:rsidP="00BA5B24">
      <w:pPr>
        <w:spacing w:after="0"/>
        <w:rPr>
          <w:rFonts w:cs="Arial"/>
        </w:rPr>
      </w:pPr>
    </w:p>
    <w:p w14:paraId="49C7CB77" w14:textId="10D574E4" w:rsidR="000225AD" w:rsidRPr="000B72F1" w:rsidRDefault="000225AD" w:rsidP="00BA5B24">
      <w:pPr>
        <w:spacing w:after="0"/>
        <w:rPr>
          <w:rFonts w:cs="Arial"/>
        </w:rPr>
      </w:pPr>
    </w:p>
    <w:p w14:paraId="67F20E71" w14:textId="4C20E70E" w:rsidR="000225AD" w:rsidRPr="000B72F1" w:rsidRDefault="000225AD" w:rsidP="00BA5B24">
      <w:pPr>
        <w:spacing w:after="0"/>
        <w:rPr>
          <w:rFonts w:cs="Arial"/>
        </w:rPr>
      </w:pPr>
    </w:p>
    <w:p w14:paraId="254CF468" w14:textId="1448F7FA" w:rsidR="000225AD" w:rsidRPr="000B72F1" w:rsidRDefault="000225AD" w:rsidP="00BA5B24">
      <w:pPr>
        <w:spacing w:after="0"/>
        <w:rPr>
          <w:rFonts w:cs="Arial"/>
        </w:rPr>
      </w:pPr>
    </w:p>
    <w:p w14:paraId="4E5DDC27" w14:textId="01D3B610" w:rsidR="000225AD" w:rsidRPr="000B72F1" w:rsidRDefault="000225AD" w:rsidP="00BA5B24">
      <w:pPr>
        <w:spacing w:after="0"/>
        <w:rPr>
          <w:rFonts w:cs="Arial"/>
        </w:rPr>
      </w:pPr>
    </w:p>
    <w:p w14:paraId="31FC3AE3" w14:textId="346BDD5A" w:rsidR="000225AD" w:rsidRPr="000B72F1" w:rsidRDefault="000225AD" w:rsidP="00BA5B24">
      <w:pPr>
        <w:spacing w:after="0"/>
        <w:rPr>
          <w:rFonts w:cs="Arial"/>
        </w:rPr>
      </w:pPr>
    </w:p>
    <w:p w14:paraId="291789BB" w14:textId="070BA214" w:rsidR="000225AD" w:rsidRPr="000B72F1" w:rsidRDefault="000225AD" w:rsidP="00BA5B24">
      <w:pPr>
        <w:spacing w:after="0"/>
        <w:rPr>
          <w:rFonts w:cs="Arial"/>
        </w:rPr>
      </w:pPr>
    </w:p>
    <w:p w14:paraId="64559641" w14:textId="42723645" w:rsidR="000225AD" w:rsidRPr="000B72F1" w:rsidRDefault="000225AD" w:rsidP="00BA5B24">
      <w:pPr>
        <w:spacing w:after="0"/>
        <w:rPr>
          <w:rFonts w:cs="Arial"/>
        </w:rPr>
      </w:pPr>
    </w:p>
    <w:p w14:paraId="3298DC2B" w14:textId="2D433510" w:rsidR="000225AD" w:rsidRPr="000B72F1" w:rsidRDefault="000225AD" w:rsidP="00BA5B24">
      <w:pPr>
        <w:spacing w:after="0"/>
        <w:rPr>
          <w:rFonts w:cs="Arial"/>
        </w:rPr>
      </w:pPr>
    </w:p>
    <w:p w14:paraId="06577FAE" w14:textId="65C9FA05" w:rsidR="000225AD" w:rsidRPr="000B72F1" w:rsidRDefault="000225AD" w:rsidP="00BA5B24">
      <w:pPr>
        <w:spacing w:after="0"/>
        <w:rPr>
          <w:rFonts w:cs="Arial"/>
        </w:rPr>
      </w:pPr>
    </w:p>
    <w:p w14:paraId="10897A6B" w14:textId="052A243B" w:rsidR="000225AD" w:rsidRPr="000B72F1" w:rsidRDefault="000225AD" w:rsidP="00BA5B24">
      <w:pPr>
        <w:spacing w:after="0"/>
        <w:rPr>
          <w:rFonts w:cs="Arial"/>
        </w:rPr>
      </w:pPr>
    </w:p>
    <w:p w14:paraId="3CBC983E" w14:textId="77777777" w:rsidR="000225AD" w:rsidRPr="000B72F1" w:rsidRDefault="000225AD" w:rsidP="00BA5B24">
      <w:pPr>
        <w:spacing w:after="0"/>
        <w:rPr>
          <w:rFonts w:cs="Arial"/>
        </w:rPr>
      </w:pPr>
    </w:p>
    <w:p w14:paraId="3CBCA4D2" w14:textId="77777777" w:rsidR="00BA5B24" w:rsidRPr="000B72F1" w:rsidRDefault="00BA5B24" w:rsidP="00BA5B24">
      <w:pPr>
        <w:pBdr>
          <w:bottom w:val="single" w:sz="4" w:space="1" w:color="auto"/>
        </w:pBdr>
        <w:spacing w:after="120"/>
        <w:rPr>
          <w:rFonts w:cs="Arial"/>
          <w:sz w:val="16"/>
          <w:szCs w:val="32"/>
        </w:rPr>
      </w:pPr>
    </w:p>
    <w:p w14:paraId="2C0BDF3C" w14:textId="77777777" w:rsidR="00BA5B24" w:rsidRPr="000B72F1" w:rsidRDefault="003756AF" w:rsidP="00BA5B24">
      <w:pPr>
        <w:tabs>
          <w:tab w:val="left" w:pos="2835"/>
        </w:tabs>
        <w:spacing w:after="120"/>
        <w:rPr>
          <w:bCs/>
          <w:szCs w:val="22"/>
        </w:rPr>
      </w:pPr>
      <w:r w:rsidRPr="000B72F1">
        <w:rPr>
          <w:b/>
          <w:szCs w:val="22"/>
        </w:rPr>
        <w:t xml:space="preserve">Records File No.: </w:t>
      </w:r>
      <w:r w:rsidRPr="000B72F1">
        <w:rPr>
          <w:b/>
          <w:szCs w:val="22"/>
        </w:rPr>
        <w:tab/>
      </w:r>
      <w:r w:rsidRPr="000B72F1">
        <w:rPr>
          <w:bCs/>
          <w:szCs w:val="22"/>
        </w:rPr>
        <w:t xml:space="preserve">Not </w:t>
      </w:r>
      <w:r w:rsidRPr="000B72F1">
        <w:rPr>
          <w:rFonts w:cs="Arial"/>
          <w:spacing w:val="3"/>
          <w:szCs w:val="22"/>
        </w:rPr>
        <w:t>applicable</w:t>
      </w:r>
    </w:p>
    <w:p w14:paraId="5E7FDD8E" w14:textId="0D9B868D" w:rsidR="00BA5B24" w:rsidRPr="000B72F1" w:rsidRDefault="003756AF" w:rsidP="00BA5B24">
      <w:pPr>
        <w:tabs>
          <w:tab w:val="left" w:pos="2835"/>
        </w:tabs>
        <w:spacing w:after="120"/>
        <w:rPr>
          <w:bCs/>
          <w:szCs w:val="22"/>
        </w:rPr>
      </w:pPr>
      <w:r w:rsidRPr="000B72F1">
        <w:rPr>
          <w:b/>
          <w:szCs w:val="22"/>
        </w:rPr>
        <w:t>Date of approval:</w:t>
      </w:r>
      <w:r w:rsidRPr="000B72F1">
        <w:rPr>
          <w:b/>
          <w:szCs w:val="22"/>
        </w:rPr>
        <w:tab/>
      </w:r>
      <w:r w:rsidR="000225AD" w:rsidRPr="000B72F1">
        <w:rPr>
          <w:rFonts w:eastAsia="Arial"/>
          <w:color w:val="000000"/>
          <w:spacing w:val="-1"/>
        </w:rPr>
        <w:t>5</w:t>
      </w:r>
      <w:r w:rsidRPr="000B72F1">
        <w:rPr>
          <w:rFonts w:eastAsia="Arial"/>
          <w:color w:val="000000"/>
          <w:spacing w:val="-1"/>
        </w:rPr>
        <w:t xml:space="preserve"> Ju</w:t>
      </w:r>
      <w:r w:rsidR="005D5777" w:rsidRPr="000B72F1">
        <w:rPr>
          <w:rFonts w:eastAsia="Arial"/>
          <w:color w:val="000000"/>
          <w:spacing w:val="-1"/>
        </w:rPr>
        <w:t>ly</w:t>
      </w:r>
      <w:r w:rsidRPr="000B72F1">
        <w:rPr>
          <w:rFonts w:eastAsia="Arial"/>
          <w:color w:val="000000"/>
          <w:spacing w:val="-1"/>
        </w:rPr>
        <w:t xml:space="preserve"> 2023</w:t>
      </w:r>
    </w:p>
    <w:p w14:paraId="6A638BD7" w14:textId="75F6EA14" w:rsidR="00BA5B24" w:rsidRPr="000B72F1" w:rsidRDefault="003756AF" w:rsidP="00BA5B24">
      <w:pPr>
        <w:tabs>
          <w:tab w:val="left" w:pos="2835"/>
        </w:tabs>
        <w:spacing w:after="120"/>
        <w:rPr>
          <w:szCs w:val="22"/>
        </w:rPr>
      </w:pPr>
      <w:r w:rsidRPr="000B72F1">
        <w:rPr>
          <w:b/>
          <w:szCs w:val="22"/>
        </w:rPr>
        <w:t>Date of operation:</w:t>
      </w:r>
      <w:r w:rsidRPr="000B72F1">
        <w:rPr>
          <w:szCs w:val="22"/>
        </w:rPr>
        <w:tab/>
      </w:r>
      <w:r w:rsidR="000225AD" w:rsidRPr="000B72F1">
        <w:rPr>
          <w:rFonts w:eastAsia="Arial"/>
          <w:color w:val="000000"/>
          <w:spacing w:val="-1"/>
        </w:rPr>
        <w:t>5</w:t>
      </w:r>
      <w:r w:rsidRPr="000B72F1">
        <w:rPr>
          <w:rFonts w:eastAsia="Arial"/>
          <w:color w:val="000000"/>
          <w:spacing w:val="-1"/>
        </w:rPr>
        <w:t xml:space="preserve"> Ju</w:t>
      </w:r>
      <w:r w:rsidR="005D5777" w:rsidRPr="000B72F1">
        <w:rPr>
          <w:rFonts w:eastAsia="Arial"/>
          <w:color w:val="000000"/>
          <w:spacing w:val="-1"/>
        </w:rPr>
        <w:t>ly</w:t>
      </w:r>
      <w:r w:rsidRPr="000B72F1">
        <w:rPr>
          <w:rFonts w:eastAsia="Arial"/>
          <w:color w:val="000000"/>
          <w:spacing w:val="-1"/>
        </w:rPr>
        <w:t xml:space="preserve"> 2023</w:t>
      </w:r>
    </w:p>
    <w:p w14:paraId="07F8AF98" w14:textId="4C320F54" w:rsidR="00BA5B24" w:rsidRPr="000B72F1" w:rsidRDefault="003756AF" w:rsidP="00BA5B24">
      <w:pPr>
        <w:tabs>
          <w:tab w:val="left" w:pos="2835"/>
        </w:tabs>
        <w:spacing w:after="120"/>
        <w:rPr>
          <w:szCs w:val="22"/>
        </w:rPr>
      </w:pPr>
      <w:r w:rsidRPr="000B72F1">
        <w:rPr>
          <w:b/>
          <w:szCs w:val="22"/>
        </w:rPr>
        <w:t>Date to be reviewed:</w:t>
      </w:r>
      <w:r w:rsidRPr="000B72F1">
        <w:rPr>
          <w:szCs w:val="22"/>
        </w:rPr>
        <w:tab/>
      </w:r>
      <w:r w:rsidR="000225AD" w:rsidRPr="000B72F1">
        <w:rPr>
          <w:rFonts w:eastAsia="Arial"/>
          <w:color w:val="000000"/>
          <w:spacing w:val="-1"/>
        </w:rPr>
        <w:t>5</w:t>
      </w:r>
      <w:r w:rsidRPr="000B72F1">
        <w:rPr>
          <w:rFonts w:eastAsia="Arial"/>
          <w:color w:val="000000"/>
          <w:spacing w:val="-1"/>
        </w:rPr>
        <w:t xml:space="preserve"> Ju</w:t>
      </w:r>
      <w:r w:rsidR="005D5777" w:rsidRPr="000B72F1">
        <w:rPr>
          <w:rFonts w:eastAsia="Arial"/>
          <w:color w:val="000000"/>
          <w:spacing w:val="-1"/>
        </w:rPr>
        <w:t>ly</w:t>
      </w:r>
      <w:r w:rsidRPr="000B72F1">
        <w:rPr>
          <w:rFonts w:eastAsia="Arial"/>
          <w:color w:val="000000"/>
          <w:spacing w:val="-1"/>
        </w:rPr>
        <w:t xml:space="preserve"> 202</w:t>
      </w:r>
      <w:r w:rsidR="005D5777" w:rsidRPr="000B72F1">
        <w:rPr>
          <w:rFonts w:eastAsia="Arial"/>
          <w:color w:val="000000"/>
          <w:spacing w:val="-1"/>
        </w:rPr>
        <w:t>6</w:t>
      </w:r>
    </w:p>
    <w:p w14:paraId="6A7510B0" w14:textId="77777777" w:rsidR="00BA5B24" w:rsidRPr="000B72F1" w:rsidRDefault="00BA5B24" w:rsidP="00BA5B24">
      <w:pPr>
        <w:pBdr>
          <w:bottom w:val="single" w:sz="4" w:space="1" w:color="auto"/>
        </w:pBdr>
        <w:spacing w:after="120"/>
        <w:rPr>
          <w:rFonts w:cs="Arial"/>
          <w:sz w:val="16"/>
          <w:szCs w:val="32"/>
        </w:rPr>
      </w:pPr>
    </w:p>
    <w:p w14:paraId="280E322A" w14:textId="77777777" w:rsidR="00BA5B24" w:rsidRPr="000B72F1" w:rsidRDefault="003756AF" w:rsidP="00BA5B24">
      <w:pPr>
        <w:tabs>
          <w:tab w:val="left" w:pos="2835"/>
        </w:tabs>
        <w:spacing w:after="120"/>
        <w:rPr>
          <w:b/>
          <w:szCs w:val="22"/>
        </w:rPr>
      </w:pPr>
      <w:r w:rsidRPr="000B72F1">
        <w:rPr>
          <w:b/>
          <w:szCs w:val="22"/>
        </w:rPr>
        <w:t>Office:</w:t>
      </w:r>
      <w:r w:rsidRPr="000B72F1">
        <w:rPr>
          <w:szCs w:val="22"/>
        </w:rPr>
        <w:tab/>
      </w:r>
      <w:r w:rsidRPr="000B72F1">
        <w:rPr>
          <w:spacing w:val="-3"/>
        </w:rPr>
        <w:t xml:space="preserve">Office of </w:t>
      </w:r>
      <w:r w:rsidRPr="000B72F1">
        <w:rPr>
          <w:rFonts w:cs="Arial"/>
          <w:spacing w:val="3"/>
          <w:szCs w:val="22"/>
        </w:rPr>
        <w:t>the</w:t>
      </w:r>
      <w:r w:rsidRPr="000B72F1">
        <w:rPr>
          <w:spacing w:val="-3"/>
        </w:rPr>
        <w:t xml:space="preserve"> Chief Practitioner</w:t>
      </w:r>
    </w:p>
    <w:p w14:paraId="43A74342" w14:textId="77777777" w:rsidR="00BA5B24" w:rsidRPr="000B72F1" w:rsidRDefault="003756AF" w:rsidP="00BA5B24">
      <w:pPr>
        <w:tabs>
          <w:tab w:val="left" w:pos="2835"/>
        </w:tabs>
        <w:spacing w:after="120"/>
        <w:rPr>
          <w:szCs w:val="22"/>
        </w:rPr>
      </w:pPr>
      <w:r w:rsidRPr="000B72F1">
        <w:rPr>
          <w:b/>
          <w:szCs w:val="22"/>
        </w:rPr>
        <w:t>Help Contact:</w:t>
      </w:r>
      <w:r w:rsidRPr="000B72F1">
        <w:rPr>
          <w:szCs w:val="22"/>
        </w:rPr>
        <w:tab/>
        <w:t xml:space="preserve">Child </w:t>
      </w:r>
      <w:r w:rsidRPr="000B72F1">
        <w:rPr>
          <w:rFonts w:cs="Arial"/>
          <w:spacing w:val="3"/>
          <w:szCs w:val="22"/>
        </w:rPr>
        <w:t>Protection</w:t>
      </w:r>
      <w:r w:rsidRPr="000B72F1">
        <w:rPr>
          <w:szCs w:val="22"/>
        </w:rPr>
        <w:t xml:space="preserve"> Practice</w:t>
      </w:r>
    </w:p>
    <w:p w14:paraId="02CC1831" w14:textId="77777777" w:rsidR="00BA5B24" w:rsidRPr="000B72F1" w:rsidRDefault="00BA5B24" w:rsidP="00BA5B24">
      <w:pPr>
        <w:pBdr>
          <w:bottom w:val="single" w:sz="4" w:space="1" w:color="auto"/>
        </w:pBdr>
        <w:spacing w:after="120"/>
        <w:rPr>
          <w:rFonts w:cs="Arial"/>
          <w:sz w:val="16"/>
          <w:szCs w:val="32"/>
        </w:rPr>
      </w:pPr>
    </w:p>
    <w:p w14:paraId="6AC8C1C7" w14:textId="77777777" w:rsidR="00BA5B24" w:rsidRPr="000B72F1" w:rsidRDefault="00BA5B24" w:rsidP="00BA5B24">
      <w:pPr>
        <w:spacing w:after="0"/>
        <w:rPr>
          <w:rFonts w:cs="Arial"/>
          <w:b/>
          <w:bCs/>
          <w:sz w:val="24"/>
          <w:szCs w:val="28"/>
        </w:rPr>
      </w:pPr>
    </w:p>
    <w:p w14:paraId="32BECF0E" w14:textId="77777777" w:rsidR="00BA5B24" w:rsidRPr="000B72F1" w:rsidRDefault="003756AF" w:rsidP="00BA5B24">
      <w:pPr>
        <w:spacing w:after="120"/>
        <w:rPr>
          <w:rFonts w:cs="Arial"/>
          <w:b/>
          <w:bCs/>
          <w:sz w:val="24"/>
          <w:szCs w:val="28"/>
        </w:rPr>
      </w:pPr>
      <w:r w:rsidRPr="000B72F1">
        <w:rPr>
          <w:rFonts w:cs="Arial"/>
          <w:b/>
          <w:bCs/>
          <w:sz w:val="24"/>
          <w:szCs w:val="28"/>
        </w:rPr>
        <w:t>Links:</w:t>
      </w:r>
    </w:p>
    <w:p w14:paraId="5D1A1BE2" w14:textId="77777777" w:rsidR="00BA5B24" w:rsidRPr="000B72F1" w:rsidRDefault="003756AF" w:rsidP="00BA5B24">
      <w:pPr>
        <w:spacing w:after="120"/>
        <w:rPr>
          <w:rFonts w:cs="Arial"/>
          <w:b/>
          <w:bCs/>
          <w:spacing w:val="3"/>
          <w:szCs w:val="22"/>
        </w:rPr>
      </w:pPr>
      <w:r w:rsidRPr="000B72F1">
        <w:rPr>
          <w:rFonts w:cs="Arial"/>
          <w:b/>
          <w:bCs/>
          <w:spacing w:val="3"/>
          <w:szCs w:val="22"/>
        </w:rPr>
        <w:t>Procedures</w:t>
      </w:r>
    </w:p>
    <w:p w14:paraId="4DAC9819" w14:textId="77777777" w:rsidR="00BA5B24" w:rsidRPr="000B72F1" w:rsidRDefault="003756AF" w:rsidP="00BA5B24">
      <w:pPr>
        <w:spacing w:after="120"/>
        <w:rPr>
          <w:rFonts w:cs="Arial"/>
          <w:spacing w:val="3"/>
          <w:szCs w:val="22"/>
        </w:rPr>
      </w:pPr>
      <w:r w:rsidRPr="000B72F1">
        <w:rPr>
          <w:rFonts w:cs="Arial"/>
          <w:spacing w:val="3"/>
          <w:szCs w:val="22"/>
        </w:rPr>
        <w:t>Child Safety Practice Manual</w:t>
      </w:r>
    </w:p>
    <w:p w14:paraId="7153DF9B" w14:textId="77777777" w:rsidR="00BA5B24" w:rsidRPr="000B72F1" w:rsidRDefault="00BA5B24" w:rsidP="00BA5B24">
      <w:pPr>
        <w:spacing w:after="120"/>
        <w:rPr>
          <w:rFonts w:cs="Arial"/>
          <w:spacing w:val="3"/>
          <w:szCs w:val="22"/>
        </w:rPr>
      </w:pPr>
    </w:p>
    <w:p w14:paraId="39B6260F" w14:textId="77777777" w:rsidR="00BA5B24" w:rsidRPr="000B72F1" w:rsidRDefault="003756AF" w:rsidP="00BA5B24">
      <w:pPr>
        <w:spacing w:after="120"/>
        <w:rPr>
          <w:rFonts w:cs="Arial"/>
          <w:b/>
          <w:bCs/>
          <w:spacing w:val="3"/>
          <w:szCs w:val="22"/>
        </w:rPr>
      </w:pPr>
      <w:r w:rsidRPr="000B72F1">
        <w:rPr>
          <w:rFonts w:cs="Arial"/>
          <w:b/>
          <w:bCs/>
          <w:spacing w:val="3"/>
          <w:szCs w:val="22"/>
        </w:rPr>
        <w:t>Related policies</w:t>
      </w:r>
    </w:p>
    <w:p w14:paraId="1BDEE4E5" w14:textId="77777777" w:rsidR="00BA5B24" w:rsidRPr="000B72F1" w:rsidRDefault="003756AF" w:rsidP="00BA5B24">
      <w:pPr>
        <w:spacing w:after="120"/>
        <w:rPr>
          <w:rFonts w:cs="Arial"/>
          <w:spacing w:val="3"/>
          <w:szCs w:val="22"/>
        </w:rPr>
      </w:pPr>
      <w:r w:rsidRPr="000B72F1">
        <w:rPr>
          <w:rFonts w:cs="Arial"/>
          <w:spacing w:val="3"/>
          <w:szCs w:val="22"/>
        </w:rPr>
        <w:t>Case planning (263)</w:t>
      </w:r>
    </w:p>
    <w:p w14:paraId="50FFD7B1" w14:textId="77777777" w:rsidR="00BA5B24" w:rsidRPr="000B72F1" w:rsidRDefault="003756AF" w:rsidP="00BA5B24">
      <w:pPr>
        <w:spacing w:after="120"/>
        <w:rPr>
          <w:rFonts w:cs="Arial"/>
          <w:spacing w:val="3"/>
          <w:szCs w:val="22"/>
        </w:rPr>
      </w:pPr>
      <w:r w:rsidRPr="000B72F1">
        <w:rPr>
          <w:rFonts w:cs="Arial"/>
          <w:spacing w:val="3"/>
          <w:szCs w:val="22"/>
        </w:rPr>
        <w:t>Decisions about Aboriginal and Torres Strait Islander children (641)</w:t>
      </w:r>
    </w:p>
    <w:p w14:paraId="02028B7A" w14:textId="77777777" w:rsidR="00BA5B24" w:rsidRPr="000B72F1" w:rsidRDefault="003756AF" w:rsidP="00BA5B24">
      <w:pPr>
        <w:spacing w:after="120"/>
        <w:rPr>
          <w:rFonts w:cs="Arial"/>
          <w:spacing w:val="3"/>
          <w:szCs w:val="22"/>
        </w:rPr>
      </w:pPr>
      <w:r w:rsidRPr="000B72F1">
        <w:rPr>
          <w:rFonts w:cs="Arial"/>
          <w:spacing w:val="3"/>
          <w:szCs w:val="22"/>
        </w:rPr>
        <w:t>Participation by children and young people in decision-making (369)</w:t>
      </w:r>
    </w:p>
    <w:p w14:paraId="36AD898F" w14:textId="77777777" w:rsidR="00BA5B24" w:rsidRPr="000B72F1" w:rsidRDefault="00BA5B24" w:rsidP="00BA5B24">
      <w:pPr>
        <w:spacing w:after="120"/>
        <w:rPr>
          <w:rFonts w:cs="Arial"/>
          <w:spacing w:val="3"/>
          <w:szCs w:val="22"/>
        </w:rPr>
      </w:pPr>
    </w:p>
    <w:p w14:paraId="3A82FC4F" w14:textId="77777777" w:rsidR="00BA5B24" w:rsidRPr="000B72F1" w:rsidRDefault="003756AF" w:rsidP="00BA5B24">
      <w:pPr>
        <w:spacing w:after="120"/>
        <w:rPr>
          <w:rFonts w:cs="Arial"/>
          <w:b/>
          <w:bCs/>
          <w:spacing w:val="3"/>
          <w:szCs w:val="22"/>
        </w:rPr>
      </w:pPr>
      <w:r w:rsidRPr="000B72F1">
        <w:rPr>
          <w:rFonts w:cs="Arial"/>
          <w:b/>
          <w:bCs/>
          <w:spacing w:val="3"/>
          <w:szCs w:val="22"/>
        </w:rPr>
        <w:t>Rescinded Policies</w:t>
      </w:r>
    </w:p>
    <w:p w14:paraId="4E162682" w14:textId="77777777" w:rsidR="00BA5B24" w:rsidRPr="000B72F1" w:rsidRDefault="003756AF" w:rsidP="00BA5B24">
      <w:pPr>
        <w:spacing w:after="120"/>
        <w:rPr>
          <w:rFonts w:cs="Arial"/>
          <w:spacing w:val="3"/>
          <w:szCs w:val="22"/>
        </w:rPr>
      </w:pPr>
      <w:r w:rsidRPr="000B72F1">
        <w:rPr>
          <w:rFonts w:cs="Arial"/>
          <w:spacing w:val="3"/>
          <w:szCs w:val="22"/>
        </w:rPr>
        <w:t>594-6 Permanency planning</w:t>
      </w:r>
    </w:p>
    <w:p w14:paraId="42D031D4" w14:textId="77777777" w:rsidR="00615C0F" w:rsidRPr="000B72F1" w:rsidRDefault="00615C0F" w:rsidP="00615C0F">
      <w:pPr>
        <w:pBdr>
          <w:bottom w:val="single" w:sz="6" w:space="1" w:color="auto"/>
        </w:pBdr>
        <w:jc w:val="both"/>
        <w:rPr>
          <w:color w:val="333333"/>
          <w:sz w:val="16"/>
        </w:rPr>
      </w:pPr>
    </w:p>
    <w:p w14:paraId="48145B5F" w14:textId="77777777" w:rsidR="00615C0F" w:rsidRPr="000B72F1" w:rsidRDefault="00615C0F" w:rsidP="00B665D9"/>
    <w:p w14:paraId="50021EAE" w14:textId="77777777" w:rsidR="00AF308E" w:rsidRPr="000B72F1" w:rsidRDefault="003756AF" w:rsidP="00B665D9">
      <w:r w:rsidRPr="000B72F1">
        <w:t xml:space="preserve">Deidre </w:t>
      </w:r>
      <w:proofErr w:type="spellStart"/>
      <w:r w:rsidRPr="000B72F1">
        <w:t>Mulkerin</w:t>
      </w:r>
      <w:proofErr w:type="spellEnd"/>
    </w:p>
    <w:p w14:paraId="7C5FEAE0" w14:textId="77777777" w:rsidR="00AF308E" w:rsidRPr="00223BE7" w:rsidRDefault="003756AF" w:rsidP="00B665D9">
      <w:r w:rsidRPr="000B72F1">
        <w:t>Director-General</w:t>
      </w:r>
    </w:p>
    <w:p w14:paraId="06C28246" w14:textId="77777777" w:rsidR="00AF44CE" w:rsidRDefault="00AF44CE" w:rsidP="00B665D9">
      <w:pPr>
        <w:rPr>
          <w:lang w:val="en-US"/>
        </w:rPr>
        <w:sectPr w:rsidR="00AF44CE" w:rsidSect="00025C5C">
          <w:headerReference w:type="even" r:id="rId12"/>
          <w:headerReference w:type="default" r:id="rId13"/>
          <w:footerReference w:type="even" r:id="rId14"/>
          <w:footerReference w:type="default" r:id="rId15"/>
          <w:headerReference w:type="first" r:id="rId16"/>
          <w:footerReference w:type="first" r:id="rId17"/>
          <w:pgSz w:w="11906" w:h="16838"/>
          <w:pgMar w:top="1985" w:right="1134" w:bottom="1588" w:left="1134" w:header="709" w:footer="567" w:gutter="0"/>
          <w:cols w:space="709"/>
          <w:titlePg/>
          <w:docGrid w:linePitch="360"/>
        </w:sectPr>
      </w:pPr>
    </w:p>
    <w:p w14:paraId="6F0C644F"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9A0C" w14:textId="77777777" w:rsidR="00B832F7" w:rsidRDefault="003756AF">
      <w:pPr>
        <w:spacing w:after="0"/>
      </w:pPr>
      <w:r>
        <w:separator/>
      </w:r>
    </w:p>
  </w:endnote>
  <w:endnote w:type="continuationSeparator" w:id="0">
    <w:p w14:paraId="17F3224E" w14:textId="77777777" w:rsidR="00B832F7" w:rsidRDefault="00375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73E8" w14:textId="77777777" w:rsidR="00A24AA9" w:rsidRDefault="00A24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5B9D" w14:textId="2D0A6F3D" w:rsidR="00C45FE8" w:rsidRPr="00A24AA9" w:rsidRDefault="00C45FE8" w:rsidP="00A24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6951" w14:textId="7D84A531" w:rsidR="00025C5C" w:rsidRDefault="00BE2A9B" w:rsidP="00025C5C">
    <w:pPr>
      <w:pStyle w:val="Footer"/>
      <w:jc w:val="right"/>
    </w:pPr>
    <w:r>
      <w:rPr>
        <w:noProof/>
      </w:rPr>
      <w:drawing>
        <wp:inline distT="0" distB="0" distL="0" distR="0" wp14:anchorId="64C24DCC" wp14:editId="0D2F74D6">
          <wp:extent cx="1653559" cy="540000"/>
          <wp:effectExtent l="0" t="0" r="3810" b="0"/>
          <wp:docPr id="842209625" name="Picture 84220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3559"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5ECE" w14:textId="77777777" w:rsidR="00B832F7" w:rsidRDefault="003756AF">
      <w:pPr>
        <w:spacing w:after="0"/>
      </w:pPr>
      <w:r>
        <w:separator/>
      </w:r>
    </w:p>
  </w:footnote>
  <w:footnote w:type="continuationSeparator" w:id="0">
    <w:p w14:paraId="6EBDB969" w14:textId="77777777" w:rsidR="00B832F7" w:rsidRDefault="003756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D2B8" w14:textId="77777777" w:rsidR="00A24AA9" w:rsidRDefault="00A24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DF40" w14:textId="77777777" w:rsidR="00B21459" w:rsidRDefault="003756AF">
    <w:pPr>
      <w:pStyle w:val="Header"/>
    </w:pPr>
    <w:r w:rsidRPr="000A0E6B">
      <w:rPr>
        <w:noProof/>
        <w:szCs w:val="20"/>
      </w:rPr>
      <w:drawing>
        <wp:anchor distT="0" distB="0" distL="114300" distR="114300" simplePos="0" relativeHeight="251659264" behindDoc="1" locked="0" layoutInCell="0" allowOverlap="1" wp14:anchorId="4C415B7B" wp14:editId="025F598D">
          <wp:simplePos x="0" y="0"/>
          <wp:positionH relativeFrom="page">
            <wp:posOffset>17590</wp:posOffset>
          </wp:positionH>
          <wp:positionV relativeFrom="page">
            <wp:posOffset>0</wp:posOffset>
          </wp:positionV>
          <wp:extent cx="7534275" cy="885190"/>
          <wp:effectExtent l="0" t="0" r="9525" b="0"/>
          <wp:wrapNone/>
          <wp:docPr id="842209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842209640"/>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8B84" w14:textId="77777777" w:rsidR="00025C5C" w:rsidRDefault="003756AF">
    <w:pPr>
      <w:pStyle w:val="Header"/>
    </w:pPr>
    <w:r>
      <w:rPr>
        <w:noProof/>
      </w:rPr>
      <w:drawing>
        <wp:anchor distT="0" distB="0" distL="114300" distR="114300" simplePos="0" relativeHeight="251658240" behindDoc="1" locked="1" layoutInCell="1" allowOverlap="1" wp14:anchorId="1EFB1DDD" wp14:editId="22B55E23">
          <wp:simplePos x="0" y="0"/>
          <wp:positionH relativeFrom="page">
            <wp:align>left</wp:align>
          </wp:positionH>
          <wp:positionV relativeFrom="page">
            <wp:align>top</wp:align>
          </wp:positionV>
          <wp:extent cx="7570470" cy="1184275"/>
          <wp:effectExtent l="0" t="0" r="0" b="0"/>
          <wp:wrapNone/>
          <wp:docPr id="842209624" name="Picture 842209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26A3"/>
    <w:multiLevelType w:val="hybridMultilevel"/>
    <w:tmpl w:val="CDA6DC2C"/>
    <w:lvl w:ilvl="0" w:tplc="55924F04">
      <w:start w:val="1"/>
      <w:numFmt w:val="bullet"/>
      <w:lvlText w:val=""/>
      <w:lvlJc w:val="left"/>
      <w:pPr>
        <w:ind w:left="361" w:hanging="361"/>
      </w:pPr>
      <w:rPr>
        <w:rFonts w:ascii="Symbol" w:eastAsia="Symbol" w:hAnsi="Symbol" w:hint="default"/>
        <w:w w:val="102"/>
        <w:sz w:val="22"/>
        <w:szCs w:val="22"/>
      </w:rPr>
    </w:lvl>
    <w:lvl w:ilvl="1" w:tplc="AB427C88" w:tentative="1">
      <w:start w:val="1"/>
      <w:numFmt w:val="bullet"/>
      <w:lvlText w:val="o"/>
      <w:lvlJc w:val="left"/>
      <w:pPr>
        <w:ind w:left="1339" w:hanging="360"/>
      </w:pPr>
      <w:rPr>
        <w:rFonts w:ascii="Courier New" w:hAnsi="Courier New" w:cs="Courier New" w:hint="default"/>
      </w:rPr>
    </w:lvl>
    <w:lvl w:ilvl="2" w:tplc="CC882278" w:tentative="1">
      <w:start w:val="1"/>
      <w:numFmt w:val="bullet"/>
      <w:lvlText w:val=""/>
      <w:lvlJc w:val="left"/>
      <w:pPr>
        <w:ind w:left="2059" w:hanging="360"/>
      </w:pPr>
      <w:rPr>
        <w:rFonts w:ascii="Wingdings" w:hAnsi="Wingdings" w:hint="default"/>
      </w:rPr>
    </w:lvl>
    <w:lvl w:ilvl="3" w:tplc="B524B204" w:tentative="1">
      <w:start w:val="1"/>
      <w:numFmt w:val="bullet"/>
      <w:lvlText w:val=""/>
      <w:lvlJc w:val="left"/>
      <w:pPr>
        <w:ind w:left="2779" w:hanging="360"/>
      </w:pPr>
      <w:rPr>
        <w:rFonts w:ascii="Symbol" w:hAnsi="Symbol" w:hint="default"/>
      </w:rPr>
    </w:lvl>
    <w:lvl w:ilvl="4" w:tplc="F842B87A" w:tentative="1">
      <w:start w:val="1"/>
      <w:numFmt w:val="bullet"/>
      <w:lvlText w:val="o"/>
      <w:lvlJc w:val="left"/>
      <w:pPr>
        <w:ind w:left="3499" w:hanging="360"/>
      </w:pPr>
      <w:rPr>
        <w:rFonts w:ascii="Courier New" w:hAnsi="Courier New" w:cs="Courier New" w:hint="default"/>
      </w:rPr>
    </w:lvl>
    <w:lvl w:ilvl="5" w:tplc="CB3654B6" w:tentative="1">
      <w:start w:val="1"/>
      <w:numFmt w:val="bullet"/>
      <w:lvlText w:val=""/>
      <w:lvlJc w:val="left"/>
      <w:pPr>
        <w:ind w:left="4219" w:hanging="360"/>
      </w:pPr>
      <w:rPr>
        <w:rFonts w:ascii="Wingdings" w:hAnsi="Wingdings" w:hint="default"/>
      </w:rPr>
    </w:lvl>
    <w:lvl w:ilvl="6" w:tplc="409CFC8C" w:tentative="1">
      <w:start w:val="1"/>
      <w:numFmt w:val="bullet"/>
      <w:lvlText w:val=""/>
      <w:lvlJc w:val="left"/>
      <w:pPr>
        <w:ind w:left="4939" w:hanging="360"/>
      </w:pPr>
      <w:rPr>
        <w:rFonts w:ascii="Symbol" w:hAnsi="Symbol" w:hint="default"/>
      </w:rPr>
    </w:lvl>
    <w:lvl w:ilvl="7" w:tplc="3872DEC8" w:tentative="1">
      <w:start w:val="1"/>
      <w:numFmt w:val="bullet"/>
      <w:lvlText w:val="o"/>
      <w:lvlJc w:val="left"/>
      <w:pPr>
        <w:ind w:left="5659" w:hanging="360"/>
      </w:pPr>
      <w:rPr>
        <w:rFonts w:ascii="Courier New" w:hAnsi="Courier New" w:cs="Courier New" w:hint="default"/>
      </w:rPr>
    </w:lvl>
    <w:lvl w:ilvl="8" w:tplc="43D6C268" w:tentative="1">
      <w:start w:val="1"/>
      <w:numFmt w:val="bullet"/>
      <w:lvlText w:val=""/>
      <w:lvlJc w:val="left"/>
      <w:pPr>
        <w:ind w:left="6379" w:hanging="360"/>
      </w:pPr>
      <w:rPr>
        <w:rFonts w:ascii="Wingdings" w:hAnsi="Wingdings" w:hint="default"/>
      </w:rPr>
    </w:lvl>
  </w:abstractNum>
  <w:abstractNum w:abstractNumId="1" w15:restartNumberingAfterBreak="0">
    <w:nsid w:val="32DD15AD"/>
    <w:multiLevelType w:val="hybridMultilevel"/>
    <w:tmpl w:val="75A80CC2"/>
    <w:lvl w:ilvl="0" w:tplc="2FA67470">
      <w:start w:val="1"/>
      <w:numFmt w:val="bullet"/>
      <w:lvlText w:val=""/>
      <w:lvlJc w:val="left"/>
      <w:pPr>
        <w:ind w:left="720" w:hanging="360"/>
      </w:pPr>
      <w:rPr>
        <w:rFonts w:ascii="Symbol" w:hAnsi="Symbol" w:hint="default"/>
      </w:rPr>
    </w:lvl>
    <w:lvl w:ilvl="1" w:tplc="58400E52" w:tentative="1">
      <w:start w:val="1"/>
      <w:numFmt w:val="bullet"/>
      <w:lvlText w:val="o"/>
      <w:lvlJc w:val="left"/>
      <w:pPr>
        <w:ind w:left="1440" w:hanging="360"/>
      </w:pPr>
      <w:rPr>
        <w:rFonts w:ascii="Courier New" w:hAnsi="Courier New" w:cs="Courier New" w:hint="default"/>
      </w:rPr>
    </w:lvl>
    <w:lvl w:ilvl="2" w:tplc="C4B62450" w:tentative="1">
      <w:start w:val="1"/>
      <w:numFmt w:val="bullet"/>
      <w:lvlText w:val=""/>
      <w:lvlJc w:val="left"/>
      <w:pPr>
        <w:ind w:left="2160" w:hanging="360"/>
      </w:pPr>
      <w:rPr>
        <w:rFonts w:ascii="Wingdings" w:hAnsi="Wingdings" w:hint="default"/>
      </w:rPr>
    </w:lvl>
    <w:lvl w:ilvl="3" w:tplc="6C78B91E" w:tentative="1">
      <w:start w:val="1"/>
      <w:numFmt w:val="bullet"/>
      <w:lvlText w:val=""/>
      <w:lvlJc w:val="left"/>
      <w:pPr>
        <w:ind w:left="2880" w:hanging="360"/>
      </w:pPr>
      <w:rPr>
        <w:rFonts w:ascii="Symbol" w:hAnsi="Symbol" w:hint="default"/>
      </w:rPr>
    </w:lvl>
    <w:lvl w:ilvl="4" w:tplc="56706FC8" w:tentative="1">
      <w:start w:val="1"/>
      <w:numFmt w:val="bullet"/>
      <w:lvlText w:val="o"/>
      <w:lvlJc w:val="left"/>
      <w:pPr>
        <w:ind w:left="3600" w:hanging="360"/>
      </w:pPr>
      <w:rPr>
        <w:rFonts w:ascii="Courier New" w:hAnsi="Courier New" w:cs="Courier New" w:hint="default"/>
      </w:rPr>
    </w:lvl>
    <w:lvl w:ilvl="5" w:tplc="AA169B1A" w:tentative="1">
      <w:start w:val="1"/>
      <w:numFmt w:val="bullet"/>
      <w:lvlText w:val=""/>
      <w:lvlJc w:val="left"/>
      <w:pPr>
        <w:ind w:left="4320" w:hanging="360"/>
      </w:pPr>
      <w:rPr>
        <w:rFonts w:ascii="Wingdings" w:hAnsi="Wingdings" w:hint="default"/>
      </w:rPr>
    </w:lvl>
    <w:lvl w:ilvl="6" w:tplc="9FB09326" w:tentative="1">
      <w:start w:val="1"/>
      <w:numFmt w:val="bullet"/>
      <w:lvlText w:val=""/>
      <w:lvlJc w:val="left"/>
      <w:pPr>
        <w:ind w:left="5040" w:hanging="360"/>
      </w:pPr>
      <w:rPr>
        <w:rFonts w:ascii="Symbol" w:hAnsi="Symbol" w:hint="default"/>
      </w:rPr>
    </w:lvl>
    <w:lvl w:ilvl="7" w:tplc="BEF0B10E" w:tentative="1">
      <w:start w:val="1"/>
      <w:numFmt w:val="bullet"/>
      <w:lvlText w:val="o"/>
      <w:lvlJc w:val="left"/>
      <w:pPr>
        <w:ind w:left="5760" w:hanging="360"/>
      </w:pPr>
      <w:rPr>
        <w:rFonts w:ascii="Courier New" w:hAnsi="Courier New" w:cs="Courier New" w:hint="default"/>
      </w:rPr>
    </w:lvl>
    <w:lvl w:ilvl="8" w:tplc="F3500694" w:tentative="1">
      <w:start w:val="1"/>
      <w:numFmt w:val="bullet"/>
      <w:lvlText w:val=""/>
      <w:lvlJc w:val="left"/>
      <w:pPr>
        <w:ind w:left="6480" w:hanging="360"/>
      </w:pPr>
      <w:rPr>
        <w:rFonts w:ascii="Wingdings" w:hAnsi="Wingdings" w:hint="default"/>
      </w:rPr>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39A3816"/>
    <w:multiLevelType w:val="hybridMultilevel"/>
    <w:tmpl w:val="D11A876E"/>
    <w:lvl w:ilvl="0" w:tplc="2452C4FC">
      <w:start w:val="1"/>
      <w:numFmt w:val="lowerLetter"/>
      <w:lvlText w:val="(%1)"/>
      <w:lvlJc w:val="left"/>
      <w:pPr>
        <w:ind w:left="1080" w:hanging="360"/>
      </w:pPr>
      <w:rPr>
        <w:rFonts w:hint="default"/>
      </w:rPr>
    </w:lvl>
    <w:lvl w:ilvl="1" w:tplc="87508FF4" w:tentative="1">
      <w:start w:val="1"/>
      <w:numFmt w:val="lowerLetter"/>
      <w:lvlText w:val="%2."/>
      <w:lvlJc w:val="left"/>
      <w:pPr>
        <w:ind w:left="1800" w:hanging="360"/>
      </w:pPr>
    </w:lvl>
    <w:lvl w:ilvl="2" w:tplc="1B8880D2" w:tentative="1">
      <w:start w:val="1"/>
      <w:numFmt w:val="lowerRoman"/>
      <w:lvlText w:val="%3."/>
      <w:lvlJc w:val="right"/>
      <w:pPr>
        <w:ind w:left="2520" w:hanging="180"/>
      </w:pPr>
    </w:lvl>
    <w:lvl w:ilvl="3" w:tplc="8D522822" w:tentative="1">
      <w:start w:val="1"/>
      <w:numFmt w:val="decimal"/>
      <w:lvlText w:val="%4."/>
      <w:lvlJc w:val="left"/>
      <w:pPr>
        <w:ind w:left="3240" w:hanging="360"/>
      </w:pPr>
    </w:lvl>
    <w:lvl w:ilvl="4" w:tplc="13284F6A" w:tentative="1">
      <w:start w:val="1"/>
      <w:numFmt w:val="lowerLetter"/>
      <w:lvlText w:val="%5."/>
      <w:lvlJc w:val="left"/>
      <w:pPr>
        <w:ind w:left="3960" w:hanging="360"/>
      </w:pPr>
    </w:lvl>
    <w:lvl w:ilvl="5" w:tplc="EF3A3048" w:tentative="1">
      <w:start w:val="1"/>
      <w:numFmt w:val="lowerRoman"/>
      <w:lvlText w:val="%6."/>
      <w:lvlJc w:val="right"/>
      <w:pPr>
        <w:ind w:left="4680" w:hanging="180"/>
      </w:pPr>
    </w:lvl>
    <w:lvl w:ilvl="6" w:tplc="B4C8D3E6" w:tentative="1">
      <w:start w:val="1"/>
      <w:numFmt w:val="decimal"/>
      <w:lvlText w:val="%7."/>
      <w:lvlJc w:val="left"/>
      <w:pPr>
        <w:ind w:left="5400" w:hanging="360"/>
      </w:pPr>
    </w:lvl>
    <w:lvl w:ilvl="7" w:tplc="9CF6F9F2" w:tentative="1">
      <w:start w:val="1"/>
      <w:numFmt w:val="lowerLetter"/>
      <w:lvlText w:val="%8."/>
      <w:lvlJc w:val="left"/>
      <w:pPr>
        <w:ind w:left="6120" w:hanging="360"/>
      </w:pPr>
    </w:lvl>
    <w:lvl w:ilvl="8" w:tplc="5F12B014" w:tentative="1">
      <w:start w:val="1"/>
      <w:numFmt w:val="lowerRoman"/>
      <w:lvlText w:val="%9."/>
      <w:lvlJc w:val="right"/>
      <w:pPr>
        <w:ind w:left="6840" w:hanging="180"/>
      </w:pPr>
    </w:lvl>
  </w:abstractNum>
  <w:num w:numId="1" w16cid:durableId="347415195">
    <w:abstractNumId w:val="2"/>
  </w:num>
  <w:num w:numId="2" w16cid:durableId="528564953">
    <w:abstractNumId w:val="1"/>
  </w:num>
  <w:num w:numId="3" w16cid:durableId="475953167">
    <w:abstractNumId w:val="0"/>
  </w:num>
  <w:num w:numId="4" w16cid:durableId="1133913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25AD"/>
    <w:rsid w:val="0002320A"/>
    <w:rsid w:val="000253BB"/>
    <w:rsid w:val="000254AC"/>
    <w:rsid w:val="00025A5B"/>
    <w:rsid w:val="00025C5C"/>
    <w:rsid w:val="0002752A"/>
    <w:rsid w:val="000318F2"/>
    <w:rsid w:val="00031AB2"/>
    <w:rsid w:val="00031E75"/>
    <w:rsid w:val="0003274A"/>
    <w:rsid w:val="00033768"/>
    <w:rsid w:val="00035510"/>
    <w:rsid w:val="00035762"/>
    <w:rsid w:val="00041261"/>
    <w:rsid w:val="00041E7F"/>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2F1"/>
    <w:rsid w:val="000B7B40"/>
    <w:rsid w:val="000C0F1C"/>
    <w:rsid w:val="000C21A5"/>
    <w:rsid w:val="000C511F"/>
    <w:rsid w:val="000C5EF9"/>
    <w:rsid w:val="000C65FD"/>
    <w:rsid w:val="000D04E0"/>
    <w:rsid w:val="000D0827"/>
    <w:rsid w:val="000D0974"/>
    <w:rsid w:val="000D19B1"/>
    <w:rsid w:val="000D3398"/>
    <w:rsid w:val="000D587E"/>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77E5"/>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E6E4E"/>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47E6D"/>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A3F"/>
    <w:rsid w:val="002C5874"/>
    <w:rsid w:val="002C5B5D"/>
    <w:rsid w:val="002C6264"/>
    <w:rsid w:val="002C6EEF"/>
    <w:rsid w:val="002D00A4"/>
    <w:rsid w:val="002D0721"/>
    <w:rsid w:val="002D1AA9"/>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438"/>
    <w:rsid w:val="00365D84"/>
    <w:rsid w:val="00367AE0"/>
    <w:rsid w:val="00371733"/>
    <w:rsid w:val="0037231E"/>
    <w:rsid w:val="003744DC"/>
    <w:rsid w:val="00374C93"/>
    <w:rsid w:val="0037519D"/>
    <w:rsid w:val="00375268"/>
    <w:rsid w:val="003756AF"/>
    <w:rsid w:val="00375C1D"/>
    <w:rsid w:val="00375CA9"/>
    <w:rsid w:val="003812D6"/>
    <w:rsid w:val="00382067"/>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51D"/>
    <w:rsid w:val="00526029"/>
    <w:rsid w:val="00526412"/>
    <w:rsid w:val="00526F4C"/>
    <w:rsid w:val="005278BF"/>
    <w:rsid w:val="005303BE"/>
    <w:rsid w:val="00530757"/>
    <w:rsid w:val="00532902"/>
    <w:rsid w:val="00532B3D"/>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3EC"/>
    <w:rsid w:val="00592779"/>
    <w:rsid w:val="00592C1A"/>
    <w:rsid w:val="005954C5"/>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5C6F"/>
    <w:rsid w:val="005C6478"/>
    <w:rsid w:val="005C6D12"/>
    <w:rsid w:val="005C6E87"/>
    <w:rsid w:val="005D0D92"/>
    <w:rsid w:val="005D2EDE"/>
    <w:rsid w:val="005D5777"/>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7E77"/>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A0E"/>
    <w:rsid w:val="00627C93"/>
    <w:rsid w:val="00632F8F"/>
    <w:rsid w:val="00633B9B"/>
    <w:rsid w:val="00633CAB"/>
    <w:rsid w:val="00635F8E"/>
    <w:rsid w:val="0063788F"/>
    <w:rsid w:val="00640F77"/>
    <w:rsid w:val="006410C0"/>
    <w:rsid w:val="006410C2"/>
    <w:rsid w:val="006430C4"/>
    <w:rsid w:val="006443F5"/>
    <w:rsid w:val="0064525C"/>
    <w:rsid w:val="00650723"/>
    <w:rsid w:val="00650B89"/>
    <w:rsid w:val="00651943"/>
    <w:rsid w:val="00652F12"/>
    <w:rsid w:val="00654153"/>
    <w:rsid w:val="006563E8"/>
    <w:rsid w:val="0065671E"/>
    <w:rsid w:val="006609C0"/>
    <w:rsid w:val="00660F23"/>
    <w:rsid w:val="00660FA9"/>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7FE"/>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092D"/>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3F3"/>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604C"/>
    <w:rsid w:val="0086739B"/>
    <w:rsid w:val="008675B4"/>
    <w:rsid w:val="00870796"/>
    <w:rsid w:val="00871110"/>
    <w:rsid w:val="00872CD3"/>
    <w:rsid w:val="0087325B"/>
    <w:rsid w:val="00875BDF"/>
    <w:rsid w:val="008765E5"/>
    <w:rsid w:val="00877329"/>
    <w:rsid w:val="00880216"/>
    <w:rsid w:val="00880E55"/>
    <w:rsid w:val="00881E63"/>
    <w:rsid w:val="008824B3"/>
    <w:rsid w:val="0088498C"/>
    <w:rsid w:val="00884E7C"/>
    <w:rsid w:val="00886D67"/>
    <w:rsid w:val="00886E38"/>
    <w:rsid w:val="00886F69"/>
    <w:rsid w:val="00887010"/>
    <w:rsid w:val="00887496"/>
    <w:rsid w:val="008874B3"/>
    <w:rsid w:val="0088785B"/>
    <w:rsid w:val="00887B40"/>
    <w:rsid w:val="0089279D"/>
    <w:rsid w:val="00892E68"/>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7A2"/>
    <w:rsid w:val="00947B77"/>
    <w:rsid w:val="00947E61"/>
    <w:rsid w:val="00950433"/>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4E04"/>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2304"/>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4AA9"/>
    <w:rsid w:val="00A27292"/>
    <w:rsid w:val="00A31221"/>
    <w:rsid w:val="00A312C4"/>
    <w:rsid w:val="00A32E6B"/>
    <w:rsid w:val="00A34A91"/>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2F7"/>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5B24"/>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2A9B"/>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3C5"/>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2B70"/>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6994"/>
    <w:rsid w:val="00F033B4"/>
    <w:rsid w:val="00F04367"/>
    <w:rsid w:val="00F04618"/>
    <w:rsid w:val="00F04D02"/>
    <w:rsid w:val="00F11A7E"/>
    <w:rsid w:val="00F123F2"/>
    <w:rsid w:val="00F15830"/>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C7F7C"/>
    <w:rsid w:val="00FD2D8D"/>
    <w:rsid w:val="00FD355B"/>
    <w:rsid w:val="00FD3628"/>
    <w:rsid w:val="00FD4003"/>
    <w:rsid w:val="00FD4F88"/>
    <w:rsid w:val="00FD5B7A"/>
    <w:rsid w:val="00FD7D5E"/>
    <w:rsid w:val="00FE2506"/>
    <w:rsid w:val="00FE2B1A"/>
    <w:rsid w:val="00FE2F50"/>
    <w:rsid w:val="00FE4FE9"/>
    <w:rsid w:val="00FE7FC9"/>
    <w:rsid w:val="00FF3D07"/>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1E6C1"/>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34"/>
    <w:qFormat/>
    <w:rsid w:val="00BA5B24"/>
    <w:pPr>
      <w:spacing w:after="0"/>
      <w:ind w:left="720"/>
    </w:pPr>
    <w:rPr>
      <w:rFonts w:ascii="Calibri" w:eastAsiaTheme="minorHAnsi" w:hAnsi="Calibri" w:cs="Calibri"/>
      <w:szCs w:val="22"/>
      <w:lang w:eastAsia="en-US"/>
    </w:rPr>
  </w:style>
  <w:style w:type="character" w:styleId="Hyperlink">
    <w:name w:val="Hyperlink"/>
    <w:basedOn w:val="DefaultParagraphFont"/>
    <w:unhideWhenUsed/>
    <w:rsid w:val="00BA5B24"/>
    <w:rPr>
      <w:color w:val="0000FF" w:themeColor="hyperlink"/>
      <w:u w:val="single"/>
    </w:rPr>
  </w:style>
  <w:style w:type="paragraph" w:styleId="Revision">
    <w:name w:val="Revision"/>
    <w:hidden/>
    <w:uiPriority w:val="71"/>
    <w:semiHidden/>
    <w:rsid w:val="00F15830"/>
    <w:rPr>
      <w:rFonts w:ascii="Arial" w:hAnsi="Arial"/>
      <w:sz w:val="22"/>
      <w:szCs w:val="24"/>
    </w:rPr>
  </w:style>
  <w:style w:type="character" w:styleId="CommentReference">
    <w:name w:val="annotation reference"/>
    <w:basedOn w:val="DefaultParagraphFont"/>
    <w:semiHidden/>
    <w:unhideWhenUsed/>
    <w:rsid w:val="00F15830"/>
    <w:rPr>
      <w:sz w:val="16"/>
      <w:szCs w:val="16"/>
    </w:rPr>
  </w:style>
  <w:style w:type="paragraph" w:styleId="CommentText">
    <w:name w:val="annotation text"/>
    <w:basedOn w:val="Normal"/>
    <w:link w:val="CommentTextChar"/>
    <w:semiHidden/>
    <w:unhideWhenUsed/>
    <w:rsid w:val="00F15830"/>
    <w:rPr>
      <w:sz w:val="20"/>
      <w:szCs w:val="20"/>
    </w:rPr>
  </w:style>
  <w:style w:type="character" w:customStyle="1" w:styleId="CommentTextChar">
    <w:name w:val="Comment Text Char"/>
    <w:basedOn w:val="DefaultParagraphFont"/>
    <w:link w:val="CommentText"/>
    <w:semiHidden/>
    <w:rsid w:val="00F15830"/>
    <w:rPr>
      <w:rFonts w:ascii="Arial" w:hAnsi="Arial"/>
    </w:rPr>
  </w:style>
  <w:style w:type="paragraph" w:styleId="CommentSubject">
    <w:name w:val="annotation subject"/>
    <w:basedOn w:val="CommentText"/>
    <w:next w:val="CommentText"/>
    <w:link w:val="CommentSubjectChar"/>
    <w:semiHidden/>
    <w:unhideWhenUsed/>
    <w:rsid w:val="00F15830"/>
    <w:rPr>
      <w:b/>
      <w:bCs/>
    </w:rPr>
  </w:style>
  <w:style w:type="character" w:customStyle="1" w:styleId="CommentSubjectChar">
    <w:name w:val="Comment Subject Char"/>
    <w:basedOn w:val="CommentTextChar"/>
    <w:link w:val="CommentSubject"/>
    <w:semiHidden/>
    <w:rsid w:val="00F15830"/>
    <w:rPr>
      <w:rFonts w:ascii="Arial" w:hAnsi="Arial"/>
      <w:b/>
      <w:bCs/>
    </w:rPr>
  </w:style>
  <w:style w:type="character" w:styleId="FollowedHyperlink">
    <w:name w:val="FollowedHyperlink"/>
    <w:basedOn w:val="DefaultParagraphFont"/>
    <w:semiHidden/>
    <w:unhideWhenUsed/>
    <w:rsid w:val="005D57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1999-01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qld.gov.au/view/html/inforce/current/act-1999-01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qld.gov.au/view/html/inforce/current/act-1999-01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slation.qld.gov.au/view/html/inforce/current/act-1999-0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qld.gov.au/view/html/inforce/current/act-1999-010"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2061</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Child Safety policy - Permanency planning 594-6</vt:lpstr>
    </vt:vector>
  </TitlesOfParts>
  <Manager/>
  <Company>Queensland Government</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policy - Permanency planning 594-6</dc:title>
  <dc:subject>Queensland Child Safety policy regarding permanency planning</dc:subject>
  <dc:creator>Queensland Government</dc:creator>
  <cp:keywords>permanency, planning, child, placement</cp:keywords>
  <cp:lastModifiedBy>Carol A Leung</cp:lastModifiedBy>
  <cp:revision>10</cp:revision>
  <dcterms:created xsi:type="dcterms:W3CDTF">2023-07-05T03:44:00Z</dcterms:created>
  <dcterms:modified xsi:type="dcterms:W3CDTF">2023-07-06T23:20:00Z</dcterms:modified>
  <cp:category>policy</cp:category>
</cp:coreProperties>
</file>