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681E361C" w:rsidR="00615C0F" w:rsidRDefault="00615C0F" w:rsidP="00E31C43">
      <w:pPr>
        <w:tabs>
          <w:tab w:val="left" w:pos="2552"/>
        </w:tabs>
        <w:ind w:left="2552" w:hanging="2552"/>
        <w:rPr>
          <w:sz w:val="28"/>
          <w:szCs w:val="28"/>
        </w:rPr>
      </w:pPr>
      <w:r w:rsidRPr="000F3089">
        <w:rPr>
          <w:b/>
          <w:sz w:val="28"/>
          <w:szCs w:val="28"/>
        </w:rPr>
        <w:t>Title:</w:t>
      </w:r>
      <w:r w:rsidRPr="000F3089">
        <w:rPr>
          <w:sz w:val="28"/>
          <w:szCs w:val="28"/>
        </w:rPr>
        <w:t xml:space="preserve"> </w:t>
      </w:r>
      <w:r w:rsidRPr="000F3089">
        <w:rPr>
          <w:sz w:val="28"/>
          <w:szCs w:val="28"/>
        </w:rPr>
        <w:tab/>
      </w:r>
      <w:r w:rsidR="00E31C43" w:rsidRPr="00E51677">
        <w:rPr>
          <w:rFonts w:cs="Arial"/>
          <w:sz w:val="28"/>
          <w:szCs w:val="22"/>
        </w:rPr>
        <w:t>Interstate transfers of child protection orders and proceedings</w:t>
      </w:r>
    </w:p>
    <w:p w14:paraId="219B1888" w14:textId="239D09AD"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E31C43">
        <w:rPr>
          <w:sz w:val="28"/>
          <w:szCs w:val="28"/>
        </w:rPr>
        <w:t>401-</w:t>
      </w:r>
      <w:r w:rsidR="00BE571A" w:rsidRPr="00AE1501">
        <w:rPr>
          <w:sz w:val="28"/>
          <w:szCs w:val="28"/>
        </w:rPr>
        <w:t>5</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0D256EBE" w14:textId="00AE8318" w:rsidR="008641AF" w:rsidRPr="008641AF" w:rsidRDefault="008641AF" w:rsidP="008641AF">
      <w:pPr>
        <w:pStyle w:val="BodyText"/>
        <w:spacing w:before="123" w:line="242" w:lineRule="auto"/>
        <w:ind w:right="98"/>
        <w:rPr>
          <w:b w:val="0"/>
          <w:bCs/>
          <w:spacing w:val="-2"/>
        </w:rPr>
      </w:pPr>
      <w:r w:rsidRPr="008641AF">
        <w:rPr>
          <w:b w:val="0"/>
          <w:bCs/>
          <w:spacing w:val="-2"/>
        </w:rPr>
        <w:t xml:space="preserve">The Department of </w:t>
      </w:r>
      <w:r>
        <w:rPr>
          <w:b w:val="0"/>
          <w:bCs/>
          <w:spacing w:val="-2"/>
        </w:rPr>
        <w:t>Children, Youth Justice and Multicultural Affairs</w:t>
      </w:r>
      <w:r w:rsidRPr="008641AF">
        <w:rPr>
          <w:b w:val="0"/>
          <w:bCs/>
          <w:spacing w:val="-2"/>
        </w:rPr>
        <w:t xml:space="preserve"> (Child Safety) is committed to maintaining the safety and support needs of children as they move between Queensland and other states, </w:t>
      </w:r>
      <w:proofErr w:type="gramStart"/>
      <w:r w:rsidRPr="008641AF">
        <w:rPr>
          <w:b w:val="0"/>
          <w:bCs/>
          <w:spacing w:val="-2"/>
        </w:rPr>
        <w:t>territories</w:t>
      </w:r>
      <w:proofErr w:type="gramEnd"/>
      <w:r w:rsidRPr="008641AF">
        <w:rPr>
          <w:b w:val="0"/>
          <w:bCs/>
          <w:spacing w:val="-2"/>
        </w:rPr>
        <w:t xml:space="preserve"> and New Zealand.</w:t>
      </w:r>
    </w:p>
    <w:p w14:paraId="701619BB" w14:textId="77777777" w:rsidR="008641AF" w:rsidRPr="008641AF" w:rsidRDefault="008641AF" w:rsidP="008641AF">
      <w:pPr>
        <w:pStyle w:val="BodyText"/>
        <w:spacing w:before="123" w:line="242" w:lineRule="auto"/>
        <w:ind w:right="98"/>
        <w:rPr>
          <w:b w:val="0"/>
          <w:bCs/>
          <w:spacing w:val="-2"/>
        </w:rPr>
      </w:pPr>
      <w:r w:rsidRPr="008641AF">
        <w:rPr>
          <w:b w:val="0"/>
          <w:bCs/>
          <w:spacing w:val="-2"/>
        </w:rPr>
        <w:t xml:space="preserve">The </w:t>
      </w:r>
      <w:r w:rsidRPr="008641AF">
        <w:rPr>
          <w:b w:val="0"/>
          <w:bCs/>
          <w:i/>
          <w:iCs/>
          <w:spacing w:val="-2"/>
        </w:rPr>
        <w:t>Child Protection Act 1999</w:t>
      </w:r>
      <w:r w:rsidRPr="008641AF">
        <w:rPr>
          <w:b w:val="0"/>
          <w:bCs/>
          <w:spacing w:val="-2"/>
        </w:rPr>
        <w:t xml:space="preserve"> (the Act) provides for the transfer of orders and proceedings between Queensland and other states and territories and between Queensland and New Zealand.</w:t>
      </w:r>
    </w:p>
    <w:p w14:paraId="1AE6094E" w14:textId="2ABD1600" w:rsidR="008641AF" w:rsidRPr="008641AF" w:rsidRDefault="00023E90" w:rsidP="008641AF">
      <w:pPr>
        <w:pStyle w:val="BodyText"/>
        <w:spacing w:before="123" w:line="242" w:lineRule="auto"/>
        <w:ind w:right="98"/>
        <w:rPr>
          <w:b w:val="0"/>
          <w:bCs/>
          <w:spacing w:val="-2"/>
        </w:rPr>
      </w:pPr>
      <w:r>
        <w:rPr>
          <w:b w:val="0"/>
          <w:bCs/>
          <w:spacing w:val="-2"/>
        </w:rPr>
        <w:t>T</w:t>
      </w:r>
      <w:r w:rsidR="008641AF" w:rsidRPr="008641AF">
        <w:rPr>
          <w:b w:val="0"/>
          <w:bCs/>
          <w:spacing w:val="-2"/>
        </w:rPr>
        <w:t xml:space="preserve">he Interstate Child Protection Protocol </w:t>
      </w:r>
      <w:r w:rsidRPr="00AE1501">
        <w:rPr>
          <w:b w:val="0"/>
          <w:bCs/>
          <w:spacing w:val="-2"/>
        </w:rPr>
        <w:t xml:space="preserve">October 2021 </w:t>
      </w:r>
      <w:r w:rsidR="008641AF" w:rsidRPr="00AE1501">
        <w:rPr>
          <w:b w:val="0"/>
          <w:bCs/>
          <w:spacing w:val="-2"/>
        </w:rPr>
        <w:t>(the Protocol)</w:t>
      </w:r>
      <w:r w:rsidR="00782374" w:rsidRPr="00AE1501">
        <w:rPr>
          <w:b w:val="0"/>
          <w:bCs/>
          <w:spacing w:val="-2"/>
        </w:rPr>
        <w:t>,</w:t>
      </w:r>
      <w:r w:rsidR="008641AF" w:rsidRPr="008641AF">
        <w:rPr>
          <w:b w:val="0"/>
          <w:bCs/>
          <w:spacing w:val="-2"/>
        </w:rPr>
        <w:t xml:space="preserve"> agreed to by all states, </w:t>
      </w:r>
      <w:proofErr w:type="gramStart"/>
      <w:r w:rsidR="008641AF" w:rsidRPr="008641AF">
        <w:rPr>
          <w:b w:val="0"/>
          <w:bCs/>
          <w:spacing w:val="-2"/>
        </w:rPr>
        <w:t>territories</w:t>
      </w:r>
      <w:proofErr w:type="gramEnd"/>
      <w:r w:rsidR="008641AF" w:rsidRPr="008641AF">
        <w:rPr>
          <w:b w:val="0"/>
          <w:bCs/>
          <w:spacing w:val="-2"/>
        </w:rPr>
        <w:t xml:space="preserve"> and New Zealand</w:t>
      </w:r>
      <w:r>
        <w:rPr>
          <w:b w:val="0"/>
          <w:bCs/>
          <w:spacing w:val="-2"/>
        </w:rPr>
        <w:t>,</w:t>
      </w:r>
      <w:r w:rsidR="008641AF" w:rsidRPr="008641AF">
        <w:rPr>
          <w:b w:val="0"/>
          <w:bCs/>
          <w:spacing w:val="-2"/>
        </w:rPr>
        <w:t xml:space="preserve"> provide</w:t>
      </w:r>
      <w:r>
        <w:rPr>
          <w:b w:val="0"/>
          <w:bCs/>
          <w:spacing w:val="-2"/>
        </w:rPr>
        <w:t>s</w:t>
      </w:r>
      <w:r w:rsidR="008641AF" w:rsidRPr="008641AF">
        <w:rPr>
          <w:b w:val="0"/>
          <w:bCs/>
          <w:spacing w:val="-2"/>
        </w:rPr>
        <w:t xml:space="preserve"> guidelines for requesting assistance with case work and the transfer of orders and proceedings.</w:t>
      </w:r>
    </w:p>
    <w:p w14:paraId="05FFBE3F" w14:textId="5F9CB252" w:rsidR="008641AF" w:rsidRPr="008641AF" w:rsidRDefault="008641AF" w:rsidP="008641AF">
      <w:pPr>
        <w:pStyle w:val="BodyText"/>
        <w:spacing w:before="123" w:line="242" w:lineRule="auto"/>
        <w:ind w:right="98"/>
        <w:rPr>
          <w:b w:val="0"/>
          <w:bCs/>
          <w:spacing w:val="-2"/>
        </w:rPr>
      </w:pPr>
      <w:r w:rsidRPr="008641AF">
        <w:rPr>
          <w:b w:val="0"/>
          <w:bCs/>
          <w:spacing w:val="-2"/>
        </w:rPr>
        <w:t>For child protection authorities from other states, territories and New Zealand transferring orders or proceedings into Queensland or requesting case work assistance by Queensland, the following applies:</w:t>
      </w:r>
    </w:p>
    <w:p w14:paraId="3F32203F"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when a child subject to an interstate child protection order, or subject to an interstate application or proceedings for a child protection order, is placed in Queensland, case management responsibility remains with the sending state until such time as the order or proceeding is formally transferred to Queensland in accordance with the relevant sections of the Act and the Protocol</w:t>
      </w:r>
    </w:p>
    <w:p w14:paraId="010BF4EC"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until an order or proceeding is transferred, or if the order or proceeding is unable to be transferred, the sending state can formally request that Queensland provide case work assistance. Case management and financial responsibility along with the administration and enforcement of the order or proceedings remain with the sending state, and</w:t>
      </w:r>
    </w:p>
    <w:p w14:paraId="42BFA1A7"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when a child subject to an interstate child protection order, or subject to an interstate application for a child protection order or proceeding, moves to Queensland with registered carers from interstate, and the sending State is seeking to transfer the child’s order, the carers must apply to become approved carers (foster or kinship) within the Queensland system.</w:t>
      </w:r>
    </w:p>
    <w:p w14:paraId="1AA2C847" w14:textId="307E0F35" w:rsidR="008641AF" w:rsidRPr="008641AF" w:rsidRDefault="008641AF" w:rsidP="008641AF">
      <w:pPr>
        <w:pStyle w:val="BodyText"/>
        <w:spacing w:before="123" w:line="242" w:lineRule="auto"/>
        <w:ind w:right="98"/>
        <w:rPr>
          <w:b w:val="0"/>
          <w:bCs/>
          <w:spacing w:val="-2"/>
        </w:rPr>
      </w:pPr>
      <w:r w:rsidRPr="008641AF">
        <w:rPr>
          <w:b w:val="0"/>
          <w:bCs/>
          <w:spacing w:val="-2"/>
        </w:rPr>
        <w:t>For Child Safety to transfer orders or proceedings out of Queensland, the following applies:</w:t>
      </w:r>
    </w:p>
    <w:p w14:paraId="71E9FCF1"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 xml:space="preserve">when a child subject to a Queensland child protection order, or application for a child protection order, is placed in another state, territory or New Zealand, case management responsibility remains with Queensland until such time as the order or proceedings are </w:t>
      </w:r>
      <w:r w:rsidRPr="008641AF">
        <w:rPr>
          <w:b w:val="0"/>
          <w:bCs/>
          <w:spacing w:val="-3"/>
        </w:rPr>
        <w:lastRenderedPageBreak/>
        <w:t xml:space="preserve">formally transferred to the other state, </w:t>
      </w:r>
      <w:proofErr w:type="gramStart"/>
      <w:r w:rsidRPr="008641AF">
        <w:rPr>
          <w:b w:val="0"/>
          <w:bCs/>
          <w:spacing w:val="-3"/>
        </w:rPr>
        <w:t>territory</w:t>
      </w:r>
      <w:proofErr w:type="gramEnd"/>
      <w:r w:rsidRPr="008641AF">
        <w:rPr>
          <w:b w:val="0"/>
          <w:bCs/>
          <w:spacing w:val="-3"/>
        </w:rPr>
        <w:t xml:space="preserve"> or New Zealand in accordance with the relevant sections of the Act and the Protocol, and</w:t>
      </w:r>
    </w:p>
    <w:p w14:paraId="3899AFC0"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until an order or proceedings are transferred, or if the order or proceedings are unable to be transferred, Queensland can formally request that the other State, Territory or New Zealand provides case work assistance. Case management and financial responsibility along with the administration and enforcement of the order or proceedings remain with Queensland.</w:t>
      </w:r>
    </w:p>
    <w:p w14:paraId="1AD14989" w14:textId="77777777" w:rsidR="008641AF" w:rsidRPr="008641AF" w:rsidRDefault="008641AF" w:rsidP="008641AF">
      <w:pPr>
        <w:pStyle w:val="BodyText"/>
        <w:spacing w:before="123" w:line="242" w:lineRule="auto"/>
        <w:ind w:right="98"/>
        <w:rPr>
          <w:b w:val="0"/>
          <w:bCs/>
          <w:spacing w:val="-2"/>
        </w:rPr>
      </w:pPr>
      <w:r w:rsidRPr="008641AF">
        <w:rPr>
          <w:b w:val="0"/>
          <w:bCs/>
          <w:spacing w:val="-2"/>
        </w:rPr>
        <w:t>In all matters concerning interstate transfers, Child Safety staff are to contact the Interstate liaison team, Court Services.</w:t>
      </w:r>
    </w:p>
    <w:p w14:paraId="69FECEA1" w14:textId="77777777" w:rsidR="008641AF" w:rsidRPr="008641AF" w:rsidRDefault="008641AF" w:rsidP="008641AF">
      <w:pPr>
        <w:pStyle w:val="BodyText"/>
        <w:spacing w:before="123" w:line="242" w:lineRule="auto"/>
        <w:ind w:right="98"/>
        <w:rPr>
          <w:b w:val="0"/>
          <w:bCs/>
          <w:spacing w:val="-2"/>
        </w:rPr>
      </w:pPr>
      <w:r w:rsidRPr="008641AF">
        <w:rPr>
          <w:b w:val="0"/>
          <w:bCs/>
          <w:spacing w:val="-2"/>
        </w:rPr>
        <w:t xml:space="preserve">Child Safety is committed to respecting, </w:t>
      </w:r>
      <w:proofErr w:type="gramStart"/>
      <w:r w:rsidRPr="008641AF">
        <w:rPr>
          <w:b w:val="0"/>
          <w:bCs/>
          <w:spacing w:val="-2"/>
        </w:rPr>
        <w:t>protecting</w:t>
      </w:r>
      <w:proofErr w:type="gramEnd"/>
      <w:r w:rsidRPr="008641AF">
        <w:rPr>
          <w:b w:val="0"/>
          <w:bCs/>
          <w:spacing w:val="-2"/>
        </w:rPr>
        <w:t xml:space="preserve"> and promoting human rights. Under the </w:t>
      </w:r>
      <w:r w:rsidRPr="008641AF">
        <w:rPr>
          <w:b w:val="0"/>
          <w:bCs/>
          <w:i/>
          <w:iCs/>
          <w:spacing w:val="-2"/>
        </w:rPr>
        <w:t>Human Rights Act 2019</w:t>
      </w:r>
      <w:r w:rsidRPr="008641AF">
        <w:rPr>
          <w:b w:val="0"/>
          <w:bCs/>
          <w:spacing w:val="-2"/>
        </w:rPr>
        <w:t xml:space="preserve">, Child Safety has an obligation to take action to ensure the interstate transfer of child protection orders and proceedings occurs in a way that is compatible with human rights and, when </w:t>
      </w:r>
      <w:proofErr w:type="gramStart"/>
      <w:r w:rsidRPr="008641AF">
        <w:rPr>
          <w:b w:val="0"/>
          <w:bCs/>
          <w:spacing w:val="-2"/>
        </w:rPr>
        <w:t>making a decision</w:t>
      </w:r>
      <w:proofErr w:type="gramEnd"/>
      <w:r w:rsidRPr="008641AF">
        <w:rPr>
          <w:b w:val="0"/>
          <w:bCs/>
          <w:spacing w:val="-2"/>
        </w:rPr>
        <w:t xml:space="preserve">, to give proper consideration to human rights. </w:t>
      </w:r>
    </w:p>
    <w:p w14:paraId="6F49E9BA" w14:textId="77777777" w:rsidR="008641AF" w:rsidRPr="008641AF" w:rsidRDefault="008641AF" w:rsidP="008641AF">
      <w:pPr>
        <w:pStyle w:val="BodyText"/>
        <w:spacing w:before="123" w:line="242" w:lineRule="auto"/>
        <w:ind w:right="98"/>
        <w:rPr>
          <w:b w:val="0"/>
          <w:bCs/>
          <w:spacing w:val="-2"/>
        </w:rPr>
      </w:pPr>
      <w:r w:rsidRPr="008641AF">
        <w:rPr>
          <w:b w:val="0"/>
          <w:bCs/>
          <w:spacing w:val="-2"/>
        </w:rPr>
        <w:t xml:space="preserve">The safe care and connection of Aboriginal and Torres Strait Islander children with family, community, </w:t>
      </w:r>
      <w:proofErr w:type="gramStart"/>
      <w:r w:rsidRPr="008641AF">
        <w:rPr>
          <w:b w:val="0"/>
          <w:bCs/>
          <w:spacing w:val="-2"/>
        </w:rPr>
        <w:t>culture</w:t>
      </w:r>
      <w:proofErr w:type="gramEnd"/>
      <w:r w:rsidRPr="008641AF">
        <w:rPr>
          <w:b w:val="0"/>
          <w:bCs/>
          <w:spacing w:val="-2"/>
        </w:rPr>
        <w:t xml:space="preserve"> and country will be a key consideration when managing interstate transfers of child protection orders and proceedings.</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7E82A914"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 xml:space="preserve">The safety, </w:t>
      </w:r>
      <w:proofErr w:type="gramStart"/>
      <w:r w:rsidRPr="008641AF">
        <w:rPr>
          <w:b w:val="0"/>
          <w:bCs/>
          <w:spacing w:val="-3"/>
        </w:rPr>
        <w:t>wellbeing</w:t>
      </w:r>
      <w:proofErr w:type="gramEnd"/>
      <w:r w:rsidRPr="008641AF">
        <w:rPr>
          <w:b w:val="0"/>
          <w:bCs/>
          <w:spacing w:val="-3"/>
        </w:rPr>
        <w:t xml:space="preserve"> and best interests of a child, both throughout childhood and the rest of the child’s life, are paramount.</w:t>
      </w:r>
    </w:p>
    <w:p w14:paraId="759D4ED0"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 xml:space="preserve">Child Safety staff will act and make decisions in a way that is compatible with human rights and obligations under the </w:t>
      </w:r>
      <w:r w:rsidRPr="008641AF">
        <w:rPr>
          <w:b w:val="0"/>
          <w:bCs/>
          <w:i/>
          <w:iCs/>
          <w:spacing w:val="-3"/>
        </w:rPr>
        <w:t>Human Rights Act 2019</w:t>
      </w:r>
      <w:r w:rsidRPr="008641AF">
        <w:rPr>
          <w:b w:val="0"/>
          <w:bCs/>
          <w:spacing w:val="-3"/>
        </w:rPr>
        <w:t>.</w:t>
      </w:r>
    </w:p>
    <w:p w14:paraId="2EE566CB"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Every child has a right to protection from harm.</w:t>
      </w:r>
    </w:p>
    <w:p w14:paraId="31A53C82"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Decisions about case management and case work responsibility should be made in a timely manner, having regard to the best interests of the child and to ensure coordinated decision-making and service delivery.</w:t>
      </w:r>
    </w:p>
    <w:p w14:paraId="2B0F1AFF"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The child has a right to be placed in a care environment that best meets their needs, is most culturally appropriate and maintains relationships with their family and community.</w:t>
      </w:r>
    </w:p>
    <w:p w14:paraId="7D8B8552" w14:textId="77777777"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The child has a right to be consulted about, and to take part in making decisions affecting their life (having regard to the child’s age or ability to understand), particularly decisions about where the child is living and contact with the child’s family.</w:t>
      </w:r>
    </w:p>
    <w:p w14:paraId="6C868F13" w14:textId="5FF50626" w:rsidR="008641AF" w:rsidRP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 xml:space="preserve">The five elements of </w:t>
      </w:r>
      <w:r w:rsidRPr="00AE1501">
        <w:rPr>
          <w:b w:val="0"/>
          <w:bCs/>
          <w:spacing w:val="-3"/>
        </w:rPr>
        <w:t xml:space="preserve">the </w:t>
      </w:r>
      <w:r w:rsidR="00B618D2" w:rsidRPr="00AE1501">
        <w:rPr>
          <w:b w:val="0"/>
          <w:bCs/>
          <w:spacing w:val="-3"/>
        </w:rPr>
        <w:t xml:space="preserve">Aboriginal and Torres Strait Islander </w:t>
      </w:r>
      <w:r w:rsidR="004179D7" w:rsidRPr="00AE1501">
        <w:rPr>
          <w:b w:val="0"/>
          <w:bCs/>
          <w:spacing w:val="-3"/>
        </w:rPr>
        <w:t>c</w:t>
      </w:r>
      <w:r w:rsidRPr="00AE1501">
        <w:rPr>
          <w:b w:val="0"/>
          <w:bCs/>
          <w:spacing w:val="-3"/>
        </w:rPr>
        <w:t xml:space="preserve">hild </w:t>
      </w:r>
      <w:r w:rsidR="004179D7" w:rsidRPr="00AE1501">
        <w:rPr>
          <w:b w:val="0"/>
          <w:bCs/>
          <w:spacing w:val="-3"/>
        </w:rPr>
        <w:t>p</w:t>
      </w:r>
      <w:r w:rsidRPr="00AE1501">
        <w:rPr>
          <w:b w:val="0"/>
          <w:bCs/>
          <w:spacing w:val="-3"/>
        </w:rPr>
        <w:t xml:space="preserve">lacement </w:t>
      </w:r>
      <w:r w:rsidR="004179D7" w:rsidRPr="00AE1501">
        <w:rPr>
          <w:b w:val="0"/>
          <w:bCs/>
          <w:spacing w:val="-3"/>
        </w:rPr>
        <w:t>p</w:t>
      </w:r>
      <w:r w:rsidRPr="00AE1501">
        <w:rPr>
          <w:b w:val="0"/>
          <w:bCs/>
          <w:spacing w:val="-3"/>
        </w:rPr>
        <w:t>rinciple</w:t>
      </w:r>
      <w:r w:rsidRPr="008641AF">
        <w:rPr>
          <w:b w:val="0"/>
          <w:bCs/>
          <w:spacing w:val="-3"/>
        </w:rPr>
        <w:t xml:space="preserve"> (prevention, partnership, placement, </w:t>
      </w:r>
      <w:proofErr w:type="gramStart"/>
      <w:r w:rsidRPr="008641AF">
        <w:rPr>
          <w:b w:val="0"/>
          <w:bCs/>
          <w:spacing w:val="-3"/>
        </w:rPr>
        <w:t>participation</w:t>
      </w:r>
      <w:proofErr w:type="gramEnd"/>
      <w:r w:rsidRPr="008641AF">
        <w:rPr>
          <w:b w:val="0"/>
          <w:bCs/>
          <w:spacing w:val="-3"/>
        </w:rPr>
        <w:t xml:space="preserve"> and connection) under section 5C of the Act, apply to all processes, decisions and actions for an Aboriginal or Torres Strait Islander child.</w:t>
      </w:r>
    </w:p>
    <w:p w14:paraId="012BC883" w14:textId="6043848F" w:rsidR="008641AF" w:rsidRDefault="008641AF" w:rsidP="008641AF">
      <w:pPr>
        <w:pStyle w:val="BodyText"/>
        <w:widowControl w:val="0"/>
        <w:numPr>
          <w:ilvl w:val="0"/>
          <w:numId w:val="2"/>
        </w:numPr>
        <w:tabs>
          <w:tab w:val="left" w:pos="462"/>
        </w:tabs>
        <w:spacing w:before="122" w:after="0" w:line="241" w:lineRule="auto"/>
        <w:ind w:right="498" w:hanging="462"/>
        <w:rPr>
          <w:b w:val="0"/>
          <w:bCs/>
          <w:spacing w:val="-3"/>
        </w:rPr>
      </w:pPr>
      <w:r w:rsidRPr="008641AF">
        <w:rPr>
          <w:b w:val="0"/>
          <w:bCs/>
          <w:spacing w:val="-3"/>
        </w:rPr>
        <w:t>It is desirable that an order relating to the protection of a child is to have effect and to be enforced in the State in which the child resides.</w:t>
      </w:r>
    </w:p>
    <w:p w14:paraId="19415D5C" w14:textId="77777777" w:rsidR="002C6D7A" w:rsidRPr="008641AF" w:rsidRDefault="002C6D7A" w:rsidP="002C6D7A">
      <w:pPr>
        <w:pStyle w:val="BodyText"/>
        <w:spacing w:before="137" w:line="235" w:lineRule="auto"/>
        <w:ind w:right="98"/>
        <w:rPr>
          <w:b w:val="0"/>
          <w:bCs/>
          <w:spacing w:val="-3"/>
        </w:rPr>
      </w:pPr>
    </w:p>
    <w:p w14:paraId="22D5BAF0" w14:textId="07BD5DC1" w:rsidR="00615C0F" w:rsidRPr="000F3089" w:rsidRDefault="00615C0F" w:rsidP="00615C0F">
      <w:pPr>
        <w:rPr>
          <w:b/>
          <w:sz w:val="24"/>
        </w:rPr>
      </w:pPr>
      <w:r w:rsidRPr="000F3089">
        <w:rPr>
          <w:b/>
          <w:sz w:val="24"/>
        </w:rPr>
        <w:t>Objectives:</w:t>
      </w:r>
    </w:p>
    <w:p w14:paraId="42111D70" w14:textId="32BA040E" w:rsidR="008641AF" w:rsidRDefault="008641AF" w:rsidP="008641AF">
      <w:pPr>
        <w:pStyle w:val="BodyText"/>
        <w:spacing w:before="137" w:line="235" w:lineRule="auto"/>
        <w:ind w:right="98"/>
        <w:rPr>
          <w:b w:val="0"/>
          <w:bCs/>
          <w:spacing w:val="-3"/>
        </w:rPr>
      </w:pPr>
      <w:r w:rsidRPr="008641AF">
        <w:rPr>
          <w:b w:val="0"/>
          <w:bCs/>
          <w:spacing w:val="-3"/>
        </w:rPr>
        <w:t xml:space="preserve">This policy aims to ensure the appropriate safety and support is provided to children and young people as they move between </w:t>
      </w:r>
      <w:smartTag w:uri="urn:schemas-microsoft-com:office:smarttags" w:element="State">
        <w:r w:rsidRPr="008641AF">
          <w:rPr>
            <w:b w:val="0"/>
            <w:bCs/>
            <w:spacing w:val="-3"/>
          </w:rPr>
          <w:t>Queensland</w:t>
        </w:r>
      </w:smartTag>
      <w:r w:rsidRPr="008641AF">
        <w:rPr>
          <w:b w:val="0"/>
          <w:bCs/>
          <w:spacing w:val="-3"/>
        </w:rPr>
        <w:t xml:space="preserve"> and other States, Territories, and </w:t>
      </w:r>
      <w:smartTag w:uri="urn:schemas-microsoft-com:office:smarttags" w:element="place">
        <w:smartTag w:uri="urn:schemas-microsoft-com:office:smarttags" w:element="country-region">
          <w:r w:rsidRPr="008641AF">
            <w:rPr>
              <w:b w:val="0"/>
              <w:bCs/>
              <w:spacing w:val="-3"/>
            </w:rPr>
            <w:t>New Zealand</w:t>
          </w:r>
        </w:smartTag>
      </w:smartTag>
      <w:r w:rsidRPr="008641AF">
        <w:rPr>
          <w:b w:val="0"/>
          <w:bCs/>
          <w:spacing w:val="-3"/>
        </w:rPr>
        <w:t>.</w:t>
      </w:r>
    </w:p>
    <w:p w14:paraId="253A65A7" w14:textId="77777777" w:rsidR="008641AF" w:rsidRPr="008641AF" w:rsidRDefault="008641AF" w:rsidP="008641AF">
      <w:pPr>
        <w:pStyle w:val="BodyText"/>
        <w:spacing w:before="137" w:line="235" w:lineRule="auto"/>
        <w:ind w:right="98"/>
        <w:rPr>
          <w:b w:val="0"/>
          <w:bCs/>
          <w:spacing w:val="-3"/>
        </w:rPr>
      </w:pPr>
    </w:p>
    <w:p w14:paraId="741F01C3" w14:textId="77777777" w:rsidR="00615C0F" w:rsidRPr="000F3089" w:rsidRDefault="00615C0F" w:rsidP="00615C0F">
      <w:pPr>
        <w:rPr>
          <w:b/>
          <w:sz w:val="24"/>
        </w:rPr>
      </w:pPr>
      <w:r w:rsidRPr="000F3089">
        <w:rPr>
          <w:b/>
          <w:sz w:val="24"/>
        </w:rPr>
        <w:t>Scope:</w:t>
      </w:r>
    </w:p>
    <w:p w14:paraId="42BF9106" w14:textId="0A189A31" w:rsidR="008641AF" w:rsidRDefault="008641AF" w:rsidP="008641AF">
      <w:pPr>
        <w:pStyle w:val="BodyText"/>
        <w:spacing w:before="137" w:line="235" w:lineRule="auto"/>
        <w:ind w:right="98"/>
        <w:rPr>
          <w:b w:val="0"/>
          <w:bCs/>
          <w:spacing w:val="-3"/>
        </w:rPr>
      </w:pPr>
      <w:r w:rsidRPr="008641AF">
        <w:rPr>
          <w:b w:val="0"/>
          <w:bCs/>
          <w:spacing w:val="-3"/>
        </w:rPr>
        <w:t>This policy relates to a child subject to either a Queensland child protection order or an interstate child protection order and/or related child protection proceedings.</w:t>
      </w:r>
    </w:p>
    <w:p w14:paraId="6CDFF9FA" w14:textId="77777777" w:rsidR="008641AF" w:rsidRPr="008641AF" w:rsidRDefault="008641AF" w:rsidP="008641AF">
      <w:pPr>
        <w:pStyle w:val="BodyText"/>
        <w:spacing w:before="137" w:line="235" w:lineRule="auto"/>
        <w:ind w:right="98"/>
        <w:rPr>
          <w:b w:val="0"/>
          <w:bCs/>
          <w:spacing w:val="-3"/>
        </w:rPr>
      </w:pPr>
    </w:p>
    <w:p w14:paraId="3438243A" w14:textId="77777777" w:rsidR="00615C0F" w:rsidRPr="000F3089" w:rsidRDefault="00615C0F" w:rsidP="00615C0F">
      <w:pPr>
        <w:rPr>
          <w:b/>
          <w:sz w:val="24"/>
        </w:rPr>
      </w:pPr>
      <w:r w:rsidRPr="000F3089">
        <w:rPr>
          <w:b/>
          <w:sz w:val="24"/>
        </w:rPr>
        <w:t>Roles and Responsibilities:</w:t>
      </w:r>
    </w:p>
    <w:p w14:paraId="52E7B4AD" w14:textId="77777777" w:rsidR="008641AF" w:rsidRPr="008641AF" w:rsidRDefault="008641AF" w:rsidP="008641AF">
      <w:pPr>
        <w:pStyle w:val="BodyText"/>
        <w:spacing w:before="137" w:line="235" w:lineRule="auto"/>
        <w:ind w:right="98"/>
        <w:rPr>
          <w:b w:val="0"/>
          <w:bCs/>
          <w:spacing w:val="-3"/>
        </w:rPr>
      </w:pPr>
      <w:r w:rsidRPr="008641AF">
        <w:rPr>
          <w:b w:val="0"/>
          <w:bCs/>
          <w:spacing w:val="-3"/>
        </w:rPr>
        <w:t>Refer to the Protocol and the Child Safety Practice Manual, Engage with Other Jurisdictions for responsibilities relevant to the interstate transfers of child protection orders.</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467B4C27" w14:textId="77777777" w:rsidR="008641AF" w:rsidRPr="008641AF" w:rsidRDefault="008641AF" w:rsidP="008641AF">
      <w:pPr>
        <w:pStyle w:val="BodyText"/>
        <w:rPr>
          <w:b w:val="0"/>
          <w:i/>
          <w:szCs w:val="22"/>
        </w:rPr>
      </w:pPr>
      <w:r w:rsidRPr="008641AF">
        <w:rPr>
          <w:b w:val="0"/>
          <w:i/>
          <w:szCs w:val="22"/>
        </w:rPr>
        <w:t xml:space="preserve">Child Protection Act 1999, </w:t>
      </w:r>
      <w:r w:rsidRPr="008641AF">
        <w:rPr>
          <w:b w:val="0"/>
          <w:iCs/>
          <w:szCs w:val="22"/>
        </w:rPr>
        <w:t>sections 206-210, 216, 221-222, 224, 227, 231, 234, 235, 238.</w:t>
      </w:r>
    </w:p>
    <w:p w14:paraId="77DAFE68" w14:textId="77777777" w:rsidR="00474D12" w:rsidRPr="00474D12" w:rsidRDefault="00474D12" w:rsidP="00474D12">
      <w:pPr>
        <w:pStyle w:val="BodyText"/>
        <w:rPr>
          <w:b w:val="0"/>
          <w:i/>
          <w:szCs w:val="22"/>
        </w:rPr>
      </w:pPr>
    </w:p>
    <w:p w14:paraId="694AD998" w14:textId="77777777" w:rsidR="00615C0F" w:rsidRPr="007E5EC6" w:rsidRDefault="00615C0F" w:rsidP="00474D12">
      <w:pPr>
        <w:rPr>
          <w:b/>
          <w:sz w:val="24"/>
        </w:rPr>
      </w:pPr>
      <w:r w:rsidRPr="007E5EC6">
        <w:rPr>
          <w:b/>
          <w:sz w:val="24"/>
        </w:rPr>
        <w:t>Delegations:</w:t>
      </w:r>
    </w:p>
    <w:p w14:paraId="598803D3" w14:textId="77777777" w:rsidR="008641AF" w:rsidRPr="008641AF" w:rsidRDefault="008641AF" w:rsidP="008641AF">
      <w:pPr>
        <w:pStyle w:val="BodyText"/>
        <w:spacing w:before="137" w:line="235" w:lineRule="auto"/>
        <w:ind w:right="98"/>
        <w:rPr>
          <w:b w:val="0"/>
          <w:bCs/>
          <w:spacing w:val="-3"/>
        </w:rPr>
      </w:pPr>
      <w:r w:rsidRPr="008641AF">
        <w:rPr>
          <w:b w:val="0"/>
          <w:bCs/>
          <w:spacing w:val="-3"/>
        </w:rPr>
        <w:t>Refer to instruments of delegation for delegations relevant to case planning decisions.</w:t>
      </w:r>
    </w:p>
    <w:p w14:paraId="7C1A446A" w14:textId="2F618255" w:rsidR="00BC58DF" w:rsidRDefault="008641AF" w:rsidP="00474D12">
      <w:pPr>
        <w:pStyle w:val="BodyText"/>
        <w:spacing w:before="137" w:line="235" w:lineRule="auto"/>
        <w:ind w:right="98"/>
        <w:rPr>
          <w:b w:val="0"/>
          <w:bCs/>
          <w:spacing w:val="-3"/>
        </w:rPr>
      </w:pPr>
      <w:r w:rsidRPr="008641AF">
        <w:rPr>
          <w:b w:val="0"/>
          <w:bCs/>
          <w:spacing w:val="-3"/>
        </w:rPr>
        <w:t>Refer to the financial delegations schedule for relevant financial delegations.</w:t>
      </w:r>
    </w:p>
    <w:p w14:paraId="4AD1C7CD" w14:textId="77777777" w:rsidR="008641AF" w:rsidRPr="00474D12" w:rsidRDefault="008641AF" w:rsidP="00474D12">
      <w:pPr>
        <w:pStyle w:val="BodyText"/>
        <w:spacing w:before="137" w:line="235" w:lineRule="auto"/>
        <w:ind w:right="98"/>
        <w:rPr>
          <w:b w:val="0"/>
          <w:bCs/>
          <w:spacing w:val="-3"/>
        </w:rPr>
      </w:pPr>
    </w:p>
    <w:p w14:paraId="18EDCBF2" w14:textId="77777777" w:rsidR="00615C0F" w:rsidRPr="000F3089" w:rsidRDefault="00615C0F" w:rsidP="00615C0F">
      <w:pPr>
        <w:pBdr>
          <w:bottom w:val="single" w:sz="4" w:space="1" w:color="auto"/>
        </w:pBdr>
        <w:rPr>
          <w:szCs w:val="22"/>
        </w:rPr>
      </w:pPr>
      <w:r>
        <w:rPr>
          <w:szCs w:val="22"/>
        </w:rPr>
        <w:br w:type="column"/>
      </w:r>
    </w:p>
    <w:p w14:paraId="75B5D40F" w14:textId="5684C737"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8641AF" w:rsidRPr="00E51677">
        <w:rPr>
          <w:szCs w:val="22"/>
        </w:rPr>
        <w:t>CHS/03378</w:t>
      </w:r>
    </w:p>
    <w:p w14:paraId="59A14C25" w14:textId="344EBFF5" w:rsidR="005B6913" w:rsidRPr="003828F9" w:rsidRDefault="00615C0F" w:rsidP="003828F9">
      <w:pPr>
        <w:tabs>
          <w:tab w:val="left" w:pos="2552"/>
        </w:tabs>
        <w:rPr>
          <w:bCs/>
          <w:szCs w:val="22"/>
        </w:rPr>
      </w:pPr>
      <w:r w:rsidRPr="000F3089">
        <w:rPr>
          <w:b/>
          <w:szCs w:val="22"/>
        </w:rPr>
        <w:t>Date of approval:</w:t>
      </w:r>
      <w:r w:rsidRPr="003828F9">
        <w:rPr>
          <w:b/>
          <w:szCs w:val="22"/>
        </w:rPr>
        <w:tab/>
      </w:r>
      <w:r w:rsidR="00AE1501" w:rsidRPr="00AE1501">
        <w:rPr>
          <w:bCs/>
          <w:szCs w:val="22"/>
        </w:rPr>
        <w:t>01</w:t>
      </w:r>
      <w:r w:rsidR="00AE1501" w:rsidRPr="00AE1501">
        <w:rPr>
          <w:b/>
          <w:szCs w:val="22"/>
        </w:rPr>
        <w:t xml:space="preserve"> </w:t>
      </w:r>
      <w:r w:rsidR="00782374" w:rsidRPr="00AE1501">
        <w:rPr>
          <w:bCs/>
          <w:szCs w:val="22"/>
        </w:rPr>
        <w:t>June 2022</w:t>
      </w:r>
    </w:p>
    <w:p w14:paraId="06B0623F" w14:textId="629C5FFA" w:rsidR="00615C0F" w:rsidRPr="000F3089" w:rsidRDefault="00615C0F" w:rsidP="00615C0F">
      <w:pPr>
        <w:tabs>
          <w:tab w:val="left" w:pos="2552"/>
        </w:tabs>
        <w:rPr>
          <w:szCs w:val="22"/>
        </w:rPr>
      </w:pPr>
      <w:r w:rsidRPr="000F3089">
        <w:rPr>
          <w:b/>
          <w:szCs w:val="22"/>
        </w:rPr>
        <w:t>Date of operation:</w:t>
      </w:r>
      <w:r w:rsidRPr="000F3089">
        <w:rPr>
          <w:szCs w:val="22"/>
        </w:rPr>
        <w:tab/>
      </w:r>
      <w:r w:rsidR="00AE1501">
        <w:rPr>
          <w:szCs w:val="22"/>
        </w:rPr>
        <w:t xml:space="preserve">01 </w:t>
      </w:r>
      <w:r w:rsidR="00782374" w:rsidRPr="00AE1501">
        <w:rPr>
          <w:spacing w:val="-5"/>
        </w:rPr>
        <w:t>June 2022</w:t>
      </w:r>
    </w:p>
    <w:p w14:paraId="37B5BB97" w14:textId="77D5A25F" w:rsidR="00615C0F" w:rsidRPr="000F3089" w:rsidRDefault="00615C0F" w:rsidP="00615C0F">
      <w:pPr>
        <w:tabs>
          <w:tab w:val="left" w:pos="2552"/>
        </w:tabs>
        <w:rPr>
          <w:szCs w:val="22"/>
        </w:rPr>
      </w:pPr>
      <w:r w:rsidRPr="000F3089">
        <w:rPr>
          <w:b/>
          <w:szCs w:val="22"/>
        </w:rPr>
        <w:t>Date to be reviewed:</w:t>
      </w:r>
      <w:r w:rsidRPr="000F3089">
        <w:rPr>
          <w:szCs w:val="22"/>
        </w:rPr>
        <w:tab/>
      </w:r>
      <w:r w:rsidR="00154046">
        <w:rPr>
          <w:szCs w:val="22"/>
        </w:rPr>
        <w:t xml:space="preserve">02 </w:t>
      </w:r>
      <w:r w:rsidR="00782374" w:rsidRPr="00B3699A">
        <w:rPr>
          <w:spacing w:val="-5"/>
        </w:rPr>
        <w:t>June 2025</w:t>
      </w:r>
    </w:p>
    <w:p w14:paraId="51EA6C3E" w14:textId="77777777" w:rsidR="00615C0F" w:rsidRPr="000F3089" w:rsidRDefault="00615C0F" w:rsidP="00615C0F">
      <w:pPr>
        <w:pBdr>
          <w:bottom w:val="single" w:sz="6" w:space="1" w:color="auto"/>
        </w:pBdr>
        <w:jc w:val="both"/>
        <w:rPr>
          <w:color w:val="333333"/>
          <w:sz w:val="16"/>
        </w:rPr>
      </w:pPr>
    </w:p>
    <w:p w14:paraId="3CED8C66" w14:textId="140A89EC" w:rsidR="005B6913" w:rsidRPr="00FD5B7A" w:rsidRDefault="00615C0F" w:rsidP="00615C0F">
      <w:pPr>
        <w:tabs>
          <w:tab w:val="left" w:pos="2552"/>
        </w:tabs>
        <w:rPr>
          <w:b/>
          <w:szCs w:val="22"/>
        </w:rPr>
      </w:pPr>
      <w:r w:rsidRPr="000F3089">
        <w:rPr>
          <w:b/>
          <w:szCs w:val="22"/>
        </w:rPr>
        <w:t>Office:</w:t>
      </w:r>
      <w:r w:rsidRPr="000F3089">
        <w:rPr>
          <w:szCs w:val="22"/>
        </w:rPr>
        <w:tab/>
      </w:r>
      <w:r w:rsidR="00CE2211" w:rsidRPr="00CE2211">
        <w:rPr>
          <w:spacing w:val="-3"/>
        </w:rPr>
        <w:t>Office of the Chief Practitioner</w:t>
      </w:r>
    </w:p>
    <w:p w14:paraId="321203EA" w14:textId="19DDAED2" w:rsidR="00615C0F" w:rsidRPr="000F3089" w:rsidRDefault="00615C0F" w:rsidP="00615C0F">
      <w:pPr>
        <w:tabs>
          <w:tab w:val="left" w:pos="2552"/>
        </w:tabs>
        <w:rPr>
          <w:szCs w:val="22"/>
        </w:rPr>
      </w:pPr>
      <w:r w:rsidRPr="00FD5B7A">
        <w:rPr>
          <w:b/>
          <w:szCs w:val="22"/>
        </w:rPr>
        <w:t>Help Contact:</w:t>
      </w:r>
      <w:r w:rsidRPr="00FD5B7A">
        <w:rPr>
          <w:szCs w:val="22"/>
        </w:rPr>
        <w:tab/>
      </w:r>
      <w:r w:rsidR="00CE2211" w:rsidRPr="00CE2211">
        <w:rPr>
          <w:spacing w:val="-4"/>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36738C76" w14:textId="4748DB6D" w:rsidR="00615C0F" w:rsidRPr="003828F9" w:rsidRDefault="00615C0F" w:rsidP="005B6913">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p>
    <w:p w14:paraId="5116D1D8" w14:textId="4B174E49" w:rsidR="005B6913" w:rsidRPr="003828F9" w:rsidRDefault="005B6913" w:rsidP="005B6913">
      <w:pPr>
        <w:pStyle w:val="Heading2"/>
        <w:keepNext w:val="0"/>
        <w:widowControl w:val="0"/>
        <w:spacing w:before="103" w:after="0"/>
        <w:rPr>
          <w:rFonts w:ascii="Arial" w:hAnsi="Arial"/>
          <w:b w:val="0"/>
          <w:bCs w:val="0"/>
          <w:i/>
          <w:spacing w:val="-5"/>
          <w:sz w:val="22"/>
          <w:szCs w:val="22"/>
        </w:rPr>
      </w:pPr>
      <w:r w:rsidRPr="003828F9">
        <w:rPr>
          <w:rFonts w:ascii="Arial" w:eastAsia="Arial" w:hAnsi="Arial"/>
          <w:b w:val="0"/>
          <w:bCs w:val="0"/>
          <w:i/>
          <w:sz w:val="22"/>
          <w:szCs w:val="22"/>
          <w:lang w:val="en-US" w:eastAsia="en-US"/>
        </w:rPr>
        <w:t>Human Rights</w:t>
      </w:r>
      <w:r w:rsidRPr="003828F9">
        <w:rPr>
          <w:rFonts w:ascii="Arial" w:hAnsi="Arial"/>
          <w:b w:val="0"/>
          <w:bCs w:val="0"/>
          <w:i/>
          <w:spacing w:val="26"/>
          <w:sz w:val="22"/>
          <w:szCs w:val="22"/>
        </w:rPr>
        <w:t xml:space="preserve"> </w:t>
      </w:r>
      <w:r w:rsidRPr="003828F9">
        <w:rPr>
          <w:rFonts w:ascii="Arial" w:hAnsi="Arial"/>
          <w:b w:val="0"/>
          <w:bCs w:val="0"/>
          <w:i/>
          <w:spacing w:val="1"/>
          <w:sz w:val="22"/>
          <w:szCs w:val="22"/>
        </w:rPr>
        <w:t>Act</w:t>
      </w:r>
      <w:r w:rsidRPr="003828F9">
        <w:rPr>
          <w:rFonts w:ascii="Arial" w:hAnsi="Arial"/>
          <w:b w:val="0"/>
          <w:bCs w:val="0"/>
          <w:i/>
          <w:spacing w:val="-6"/>
          <w:sz w:val="22"/>
          <w:szCs w:val="22"/>
        </w:rPr>
        <w:t xml:space="preserve"> </w:t>
      </w:r>
      <w:r w:rsidRPr="003828F9">
        <w:rPr>
          <w:rFonts w:ascii="Arial" w:hAnsi="Arial"/>
          <w:b w:val="0"/>
          <w:bCs w:val="0"/>
          <w:i/>
          <w:spacing w:val="-5"/>
          <w:sz w:val="22"/>
          <w:szCs w:val="22"/>
        </w:rPr>
        <w:t>2019</w:t>
      </w:r>
    </w:p>
    <w:p w14:paraId="7649BF59" w14:textId="77777777" w:rsidR="008641AF" w:rsidRDefault="008641AF" w:rsidP="008641AF">
      <w:pPr>
        <w:pStyle w:val="Heading2"/>
        <w:keepNext w:val="0"/>
        <w:widowControl w:val="0"/>
        <w:spacing w:before="103" w:after="0"/>
        <w:rPr>
          <w:rFonts w:ascii="Arial" w:eastAsia="Arial" w:hAnsi="Arial"/>
          <w:iCs w:val="0"/>
          <w:sz w:val="22"/>
          <w:szCs w:val="22"/>
          <w:lang w:val="en-US" w:eastAsia="en-US"/>
        </w:rPr>
      </w:pPr>
    </w:p>
    <w:p w14:paraId="7066D1B1" w14:textId="00219D2F" w:rsidR="008641AF" w:rsidRPr="003828F9" w:rsidRDefault="008641AF" w:rsidP="008641AF">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 xml:space="preserve">Related </w:t>
      </w:r>
      <w:r>
        <w:rPr>
          <w:rFonts w:ascii="Arial" w:eastAsia="Arial" w:hAnsi="Arial"/>
          <w:iCs w:val="0"/>
          <w:sz w:val="22"/>
          <w:szCs w:val="22"/>
          <w:lang w:val="en-US" w:eastAsia="en-US"/>
        </w:rPr>
        <w:t>Government Guidelines</w:t>
      </w:r>
    </w:p>
    <w:p w14:paraId="110F2CFB" w14:textId="6F78109F" w:rsidR="008641AF" w:rsidRPr="008641AF" w:rsidRDefault="008641AF" w:rsidP="008641AF">
      <w:pPr>
        <w:pStyle w:val="Heading2"/>
        <w:keepNext w:val="0"/>
        <w:widowControl w:val="0"/>
        <w:spacing w:before="103" w:after="0"/>
        <w:rPr>
          <w:rFonts w:ascii="Arial" w:eastAsia="Arial" w:hAnsi="Arial"/>
          <w:b w:val="0"/>
          <w:bCs w:val="0"/>
          <w:iCs w:val="0"/>
          <w:sz w:val="22"/>
          <w:szCs w:val="22"/>
          <w:lang w:val="en-US" w:eastAsia="en-US"/>
        </w:rPr>
      </w:pPr>
      <w:r w:rsidRPr="008641AF">
        <w:rPr>
          <w:rFonts w:ascii="Arial" w:eastAsia="Arial" w:hAnsi="Arial"/>
          <w:b w:val="0"/>
          <w:bCs w:val="0"/>
          <w:iCs w:val="0"/>
          <w:sz w:val="22"/>
          <w:szCs w:val="22"/>
          <w:lang w:val="en-US" w:eastAsia="en-US"/>
        </w:rPr>
        <w:t xml:space="preserve">Interstate Child Protection Protocol </w:t>
      </w:r>
      <w:r w:rsidR="007F2C1D" w:rsidRPr="00B3699A">
        <w:rPr>
          <w:rFonts w:ascii="Arial" w:eastAsia="Arial" w:hAnsi="Arial"/>
          <w:b w:val="0"/>
          <w:bCs w:val="0"/>
          <w:iCs w:val="0"/>
          <w:sz w:val="22"/>
          <w:szCs w:val="22"/>
          <w:lang w:val="en-US" w:eastAsia="en-US"/>
        </w:rPr>
        <w:t>October 2021</w:t>
      </w:r>
    </w:p>
    <w:p w14:paraId="12DCBA80" w14:textId="77777777" w:rsidR="00884B0A" w:rsidRPr="003828F9" w:rsidRDefault="00884B0A" w:rsidP="00884B0A">
      <w:pPr>
        <w:rPr>
          <w:rFonts w:cs="Arial"/>
          <w:b/>
          <w:bCs/>
          <w:szCs w:val="22"/>
          <w:lang w:val="en-US" w:eastAsia="en-US"/>
        </w:rPr>
      </w:pPr>
    </w:p>
    <w:p w14:paraId="7EF1D787" w14:textId="34830239" w:rsidR="00615C0F" w:rsidRPr="003828F9" w:rsidRDefault="00884B0A" w:rsidP="00884B0A">
      <w:pPr>
        <w:pStyle w:val="Heading2"/>
        <w:rPr>
          <w:rFonts w:ascii="Arial" w:hAnsi="Arial"/>
          <w:sz w:val="22"/>
          <w:szCs w:val="22"/>
        </w:rPr>
      </w:pPr>
      <w:r w:rsidRPr="003828F9">
        <w:rPr>
          <w:rFonts w:ascii="Arial" w:hAnsi="Arial"/>
          <w:sz w:val="22"/>
          <w:szCs w:val="22"/>
        </w:rPr>
        <w:t>Related</w:t>
      </w:r>
      <w:r w:rsidR="00747169">
        <w:rPr>
          <w:rFonts w:ascii="Arial" w:hAnsi="Arial"/>
          <w:sz w:val="22"/>
          <w:szCs w:val="22"/>
        </w:rPr>
        <w:t xml:space="preserve"> </w:t>
      </w:r>
      <w:r w:rsidRPr="003828F9">
        <w:rPr>
          <w:rFonts w:ascii="Arial" w:hAnsi="Arial"/>
          <w:sz w:val="22"/>
          <w:szCs w:val="22"/>
        </w:rPr>
        <w:t>polic</w:t>
      </w:r>
      <w:r w:rsidR="00DE7532">
        <w:rPr>
          <w:rFonts w:ascii="Arial" w:hAnsi="Arial"/>
          <w:sz w:val="22"/>
          <w:szCs w:val="22"/>
        </w:rPr>
        <w:t>y</w:t>
      </w:r>
    </w:p>
    <w:p w14:paraId="113384D8" w14:textId="6252D1A8" w:rsidR="00884B0A" w:rsidRPr="003828F9" w:rsidRDefault="00DE7532" w:rsidP="00884B0A">
      <w:pPr>
        <w:pStyle w:val="Heading2"/>
        <w:keepNext w:val="0"/>
        <w:widowControl w:val="0"/>
        <w:spacing w:before="103" w:after="0"/>
        <w:rPr>
          <w:rFonts w:ascii="Arial" w:eastAsia="Arial" w:hAnsi="Arial"/>
          <w:b w:val="0"/>
          <w:bCs w:val="0"/>
          <w:iCs w:val="0"/>
          <w:sz w:val="22"/>
          <w:szCs w:val="22"/>
          <w:lang w:val="en-US" w:eastAsia="en-US"/>
        </w:rPr>
      </w:pPr>
      <w:r>
        <w:rPr>
          <w:rFonts w:ascii="Arial" w:eastAsia="Arial" w:hAnsi="Arial"/>
          <w:b w:val="0"/>
          <w:bCs w:val="0"/>
          <w:iCs w:val="0"/>
          <w:sz w:val="22"/>
          <w:szCs w:val="22"/>
          <w:lang w:val="en-US" w:eastAsia="en-US"/>
        </w:rPr>
        <w:t>Case planning (263)</w:t>
      </w:r>
    </w:p>
    <w:p w14:paraId="32FC8F91" w14:textId="77777777" w:rsidR="00884B0A" w:rsidRPr="003828F9" w:rsidRDefault="00884B0A" w:rsidP="00884B0A">
      <w:pPr>
        <w:rPr>
          <w:rFonts w:cs="Arial"/>
          <w:b/>
          <w:bCs/>
          <w:szCs w:val="22"/>
          <w:lang w:val="en-US" w:eastAsia="en-US"/>
        </w:rPr>
      </w:pPr>
    </w:p>
    <w:p w14:paraId="1EE6574C" w14:textId="3B3F8AC7" w:rsidR="00615C0F" w:rsidRPr="003828F9" w:rsidRDefault="00615C0F" w:rsidP="00884B0A">
      <w:pPr>
        <w:pStyle w:val="Heading2"/>
        <w:rPr>
          <w:rFonts w:ascii="Arial" w:hAnsi="Arial"/>
          <w:sz w:val="22"/>
          <w:szCs w:val="22"/>
        </w:rPr>
      </w:pPr>
      <w:r w:rsidRPr="003828F9">
        <w:rPr>
          <w:rFonts w:ascii="Arial" w:hAnsi="Arial"/>
          <w:sz w:val="22"/>
          <w:szCs w:val="22"/>
        </w:rPr>
        <w:t>Rescinded Polic</w:t>
      </w:r>
      <w:r w:rsidR="00DE7532">
        <w:rPr>
          <w:rFonts w:ascii="Arial" w:hAnsi="Arial"/>
          <w:sz w:val="22"/>
          <w:szCs w:val="22"/>
        </w:rPr>
        <w:t>y</w:t>
      </w:r>
    </w:p>
    <w:p w14:paraId="71221A59" w14:textId="53761069" w:rsidR="00DE7532" w:rsidRDefault="00DE7532" w:rsidP="00DE7532">
      <w:pPr>
        <w:pStyle w:val="Heading2"/>
        <w:keepNext w:val="0"/>
        <w:widowControl w:val="0"/>
        <w:spacing w:before="103" w:after="0"/>
        <w:rPr>
          <w:rFonts w:ascii="Arial" w:eastAsia="Arial" w:hAnsi="Arial"/>
          <w:b w:val="0"/>
          <w:bCs w:val="0"/>
          <w:iCs w:val="0"/>
          <w:sz w:val="22"/>
          <w:szCs w:val="22"/>
          <w:lang w:val="en-US" w:eastAsia="en-US"/>
        </w:rPr>
      </w:pPr>
      <w:r w:rsidRPr="00DE7532">
        <w:rPr>
          <w:rFonts w:ascii="Arial" w:eastAsia="Arial" w:hAnsi="Arial"/>
          <w:b w:val="0"/>
          <w:bCs w:val="0"/>
          <w:iCs w:val="0"/>
          <w:sz w:val="22"/>
          <w:szCs w:val="22"/>
          <w:lang w:val="en-US" w:eastAsia="en-US"/>
        </w:rPr>
        <w:t>Interstate transfers of child protection orders and proceedings</w:t>
      </w:r>
      <w:r w:rsidR="00744B3E">
        <w:rPr>
          <w:rFonts w:ascii="Arial" w:eastAsia="Arial" w:hAnsi="Arial"/>
          <w:b w:val="0"/>
          <w:bCs w:val="0"/>
          <w:iCs w:val="0"/>
          <w:sz w:val="22"/>
          <w:szCs w:val="22"/>
          <w:lang w:val="en-US" w:eastAsia="en-US"/>
        </w:rPr>
        <w:t xml:space="preserve"> (</w:t>
      </w:r>
      <w:r w:rsidR="00744B3E" w:rsidRPr="00DE7532">
        <w:rPr>
          <w:rFonts w:ascii="Arial" w:eastAsia="Arial" w:hAnsi="Arial"/>
          <w:b w:val="0"/>
          <w:bCs w:val="0"/>
          <w:iCs w:val="0"/>
          <w:sz w:val="22"/>
          <w:szCs w:val="22"/>
          <w:lang w:val="en-US" w:eastAsia="en-US"/>
        </w:rPr>
        <w:t>401-</w:t>
      </w:r>
      <w:r w:rsidR="00744B3E" w:rsidRPr="00CD7493">
        <w:rPr>
          <w:rFonts w:ascii="Arial" w:eastAsia="Arial" w:hAnsi="Arial"/>
          <w:b w:val="0"/>
          <w:bCs w:val="0"/>
          <w:iCs w:val="0"/>
          <w:sz w:val="22"/>
          <w:szCs w:val="22"/>
          <w:lang w:val="en-US" w:eastAsia="en-US"/>
        </w:rPr>
        <w:t>4</w:t>
      </w:r>
      <w:r w:rsidR="00744B3E">
        <w:rPr>
          <w:rFonts w:ascii="Arial" w:eastAsia="Arial" w:hAnsi="Arial"/>
          <w:b w:val="0"/>
          <w:bCs w:val="0"/>
          <w:iCs w:val="0"/>
          <w:sz w:val="22"/>
          <w:szCs w:val="22"/>
          <w:lang w:val="en-US" w:eastAsia="en-US"/>
        </w:rPr>
        <w:t>)</w:t>
      </w:r>
    </w:p>
    <w:p w14:paraId="05AFBED4" w14:textId="77777777" w:rsidR="00615C0F" w:rsidRPr="000F3089" w:rsidRDefault="00615C0F" w:rsidP="00615C0F">
      <w:pPr>
        <w:pBdr>
          <w:bottom w:val="single" w:sz="6"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 xml:space="preserve">Deidre </w:t>
      </w:r>
      <w:proofErr w:type="spellStart"/>
      <w:r>
        <w:rPr>
          <w:rFonts w:ascii="Arial" w:hAnsi="Arial" w:cs="Arial"/>
          <w:color w:val="000000"/>
        </w:rPr>
        <w:t>Mulkerin</w:t>
      </w:r>
      <w:proofErr w:type="spellEnd"/>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0867" w14:textId="77777777" w:rsidR="002A6E63" w:rsidRDefault="002A6E63">
      <w:r>
        <w:separator/>
      </w:r>
    </w:p>
  </w:endnote>
  <w:endnote w:type="continuationSeparator" w:id="0">
    <w:p w14:paraId="5D9B9969" w14:textId="77777777" w:rsidR="002A6E63" w:rsidRDefault="002A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800" w14:textId="68BE6568" w:rsidR="00884B0A" w:rsidRDefault="00884B0A">
    <w:pPr>
      <w:pStyle w:val="Footer"/>
    </w:pPr>
    <w:r>
      <w:rPr>
        <w:noProof/>
      </w:rPr>
      <w:drawing>
        <wp:anchor distT="0" distB="0" distL="114300" distR="114300" simplePos="0" relativeHeight="251659264"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0E62" w14:textId="77777777" w:rsidR="002A6E63" w:rsidRDefault="002A6E63">
      <w:r>
        <w:separator/>
      </w:r>
    </w:p>
  </w:footnote>
  <w:footnote w:type="continuationSeparator" w:id="0">
    <w:p w14:paraId="652D3C1B" w14:textId="77777777" w:rsidR="002A6E63" w:rsidRDefault="002A6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EA7A" w14:textId="32484DBC" w:rsidR="00884B0A" w:rsidRDefault="00884B0A">
    <w:pPr>
      <w:pStyle w:val="Header"/>
    </w:pPr>
    <w:r>
      <w:rPr>
        <w:noProof/>
      </w:rPr>
      <w:drawing>
        <wp:anchor distT="0" distB="0" distL="114300" distR="114300" simplePos="0" relativeHeight="251658240"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E96645A"/>
    <w:multiLevelType w:val="hybridMultilevel"/>
    <w:tmpl w:val="36301974"/>
    <w:lvl w:ilvl="0" w:tplc="787CBAAA">
      <w:start w:val="1"/>
      <w:numFmt w:val="bullet"/>
      <w:lvlText w:val=""/>
      <w:lvlJc w:val="left"/>
      <w:pPr>
        <w:tabs>
          <w:tab w:val="num" w:pos="720"/>
        </w:tabs>
        <w:ind w:left="720" w:hanging="360"/>
      </w:pPr>
      <w:rPr>
        <w:rFonts w:ascii="Symbol" w:hAnsi="Symbol" w:hint="default"/>
      </w:rPr>
    </w:lvl>
    <w:lvl w:ilvl="1" w:tplc="7CF8D094" w:tentative="1">
      <w:start w:val="1"/>
      <w:numFmt w:val="bullet"/>
      <w:lvlText w:val="o"/>
      <w:lvlJc w:val="left"/>
      <w:pPr>
        <w:tabs>
          <w:tab w:val="num" w:pos="1440"/>
        </w:tabs>
        <w:ind w:left="1440" w:hanging="360"/>
      </w:pPr>
      <w:rPr>
        <w:rFonts w:ascii="Courier New" w:hAnsi="Courier New" w:cs="Courier New" w:hint="default"/>
      </w:rPr>
    </w:lvl>
    <w:lvl w:ilvl="2" w:tplc="51C67A1C" w:tentative="1">
      <w:start w:val="1"/>
      <w:numFmt w:val="bullet"/>
      <w:lvlText w:val=""/>
      <w:lvlJc w:val="left"/>
      <w:pPr>
        <w:tabs>
          <w:tab w:val="num" w:pos="2160"/>
        </w:tabs>
        <w:ind w:left="2160" w:hanging="360"/>
      </w:pPr>
      <w:rPr>
        <w:rFonts w:ascii="Wingdings" w:hAnsi="Wingdings" w:hint="default"/>
      </w:rPr>
    </w:lvl>
    <w:lvl w:ilvl="3" w:tplc="EE70E232" w:tentative="1">
      <w:start w:val="1"/>
      <w:numFmt w:val="bullet"/>
      <w:lvlText w:val=""/>
      <w:lvlJc w:val="left"/>
      <w:pPr>
        <w:tabs>
          <w:tab w:val="num" w:pos="2880"/>
        </w:tabs>
        <w:ind w:left="2880" w:hanging="360"/>
      </w:pPr>
      <w:rPr>
        <w:rFonts w:ascii="Symbol" w:hAnsi="Symbol" w:hint="default"/>
      </w:rPr>
    </w:lvl>
    <w:lvl w:ilvl="4" w:tplc="15AE3A52" w:tentative="1">
      <w:start w:val="1"/>
      <w:numFmt w:val="bullet"/>
      <w:lvlText w:val="o"/>
      <w:lvlJc w:val="left"/>
      <w:pPr>
        <w:tabs>
          <w:tab w:val="num" w:pos="3600"/>
        </w:tabs>
        <w:ind w:left="3600" w:hanging="360"/>
      </w:pPr>
      <w:rPr>
        <w:rFonts w:ascii="Courier New" w:hAnsi="Courier New" w:cs="Courier New" w:hint="default"/>
      </w:rPr>
    </w:lvl>
    <w:lvl w:ilvl="5" w:tplc="B77CADA4" w:tentative="1">
      <w:start w:val="1"/>
      <w:numFmt w:val="bullet"/>
      <w:lvlText w:val=""/>
      <w:lvlJc w:val="left"/>
      <w:pPr>
        <w:tabs>
          <w:tab w:val="num" w:pos="4320"/>
        </w:tabs>
        <w:ind w:left="4320" w:hanging="360"/>
      </w:pPr>
      <w:rPr>
        <w:rFonts w:ascii="Wingdings" w:hAnsi="Wingdings" w:hint="default"/>
      </w:rPr>
    </w:lvl>
    <w:lvl w:ilvl="6" w:tplc="E946A660" w:tentative="1">
      <w:start w:val="1"/>
      <w:numFmt w:val="bullet"/>
      <w:lvlText w:val=""/>
      <w:lvlJc w:val="left"/>
      <w:pPr>
        <w:tabs>
          <w:tab w:val="num" w:pos="5040"/>
        </w:tabs>
        <w:ind w:left="5040" w:hanging="360"/>
      </w:pPr>
      <w:rPr>
        <w:rFonts w:ascii="Symbol" w:hAnsi="Symbol" w:hint="default"/>
      </w:rPr>
    </w:lvl>
    <w:lvl w:ilvl="7" w:tplc="6504CA3C" w:tentative="1">
      <w:start w:val="1"/>
      <w:numFmt w:val="bullet"/>
      <w:lvlText w:val="o"/>
      <w:lvlJc w:val="left"/>
      <w:pPr>
        <w:tabs>
          <w:tab w:val="num" w:pos="5760"/>
        </w:tabs>
        <w:ind w:left="5760" w:hanging="360"/>
      </w:pPr>
      <w:rPr>
        <w:rFonts w:ascii="Courier New" w:hAnsi="Courier New" w:cs="Courier New" w:hint="default"/>
      </w:rPr>
    </w:lvl>
    <w:lvl w:ilvl="8" w:tplc="E08853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3E90"/>
    <w:rsid w:val="000253BB"/>
    <w:rsid w:val="000254AC"/>
    <w:rsid w:val="00025A5B"/>
    <w:rsid w:val="0002752A"/>
    <w:rsid w:val="000318F2"/>
    <w:rsid w:val="00031AB2"/>
    <w:rsid w:val="00031E75"/>
    <w:rsid w:val="0003274A"/>
    <w:rsid w:val="00033768"/>
    <w:rsid w:val="00035510"/>
    <w:rsid w:val="00041261"/>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46"/>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6E63"/>
    <w:rsid w:val="002A75DD"/>
    <w:rsid w:val="002B0BF4"/>
    <w:rsid w:val="002B3A02"/>
    <w:rsid w:val="002B49FD"/>
    <w:rsid w:val="002B5766"/>
    <w:rsid w:val="002B68EB"/>
    <w:rsid w:val="002B79FA"/>
    <w:rsid w:val="002C00E2"/>
    <w:rsid w:val="002C031A"/>
    <w:rsid w:val="002C2056"/>
    <w:rsid w:val="002C36FB"/>
    <w:rsid w:val="002C3D1D"/>
    <w:rsid w:val="002C4A3F"/>
    <w:rsid w:val="002C5874"/>
    <w:rsid w:val="002C5B5D"/>
    <w:rsid w:val="002C6264"/>
    <w:rsid w:val="002C6D7A"/>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9D7"/>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870C4"/>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0E6E"/>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4B3E"/>
    <w:rsid w:val="0074685F"/>
    <w:rsid w:val="00747169"/>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237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729"/>
    <w:rsid w:val="007E6051"/>
    <w:rsid w:val="007E6D51"/>
    <w:rsid w:val="007E746F"/>
    <w:rsid w:val="007F1061"/>
    <w:rsid w:val="007F2C1D"/>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41AF"/>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07771"/>
    <w:rsid w:val="0091153A"/>
    <w:rsid w:val="00911A43"/>
    <w:rsid w:val="009127D5"/>
    <w:rsid w:val="00917931"/>
    <w:rsid w:val="00917D4D"/>
    <w:rsid w:val="009225D3"/>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1501"/>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3340"/>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91"/>
    <w:rsid w:val="00B361A5"/>
    <w:rsid w:val="00B36519"/>
    <w:rsid w:val="00B3699A"/>
    <w:rsid w:val="00B36A8A"/>
    <w:rsid w:val="00B4103C"/>
    <w:rsid w:val="00B43970"/>
    <w:rsid w:val="00B45FAB"/>
    <w:rsid w:val="00B52C0E"/>
    <w:rsid w:val="00B5331C"/>
    <w:rsid w:val="00B54622"/>
    <w:rsid w:val="00B549B6"/>
    <w:rsid w:val="00B56D6A"/>
    <w:rsid w:val="00B572C8"/>
    <w:rsid w:val="00B618D2"/>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571A"/>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3FE"/>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493"/>
    <w:rsid w:val="00CD75B0"/>
    <w:rsid w:val="00CD7622"/>
    <w:rsid w:val="00CD782A"/>
    <w:rsid w:val="00CE1E75"/>
    <w:rsid w:val="00CE2211"/>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DF2"/>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532"/>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C43"/>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31C"/>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character" w:styleId="CommentReference">
    <w:name w:val="annotation reference"/>
    <w:basedOn w:val="DefaultParagraphFont"/>
    <w:semiHidden/>
    <w:unhideWhenUsed/>
    <w:rsid w:val="00C263FE"/>
    <w:rPr>
      <w:sz w:val="16"/>
      <w:szCs w:val="16"/>
    </w:rPr>
  </w:style>
  <w:style w:type="paragraph" w:styleId="CommentText">
    <w:name w:val="annotation text"/>
    <w:basedOn w:val="Normal"/>
    <w:link w:val="CommentTextChar"/>
    <w:semiHidden/>
    <w:unhideWhenUsed/>
    <w:rsid w:val="00C263FE"/>
    <w:rPr>
      <w:sz w:val="20"/>
      <w:szCs w:val="20"/>
    </w:rPr>
  </w:style>
  <w:style w:type="character" w:customStyle="1" w:styleId="CommentTextChar">
    <w:name w:val="Comment Text Char"/>
    <w:basedOn w:val="DefaultParagraphFont"/>
    <w:link w:val="CommentText"/>
    <w:semiHidden/>
    <w:rsid w:val="00C263FE"/>
    <w:rPr>
      <w:rFonts w:ascii="Arial" w:hAnsi="Arial"/>
    </w:rPr>
  </w:style>
  <w:style w:type="paragraph" w:styleId="CommentSubject">
    <w:name w:val="annotation subject"/>
    <w:basedOn w:val="CommentText"/>
    <w:next w:val="CommentText"/>
    <w:link w:val="CommentSubjectChar"/>
    <w:semiHidden/>
    <w:unhideWhenUsed/>
    <w:rsid w:val="00C263FE"/>
    <w:rPr>
      <w:b/>
      <w:bCs/>
    </w:rPr>
  </w:style>
  <w:style w:type="character" w:customStyle="1" w:styleId="CommentSubjectChar">
    <w:name w:val="Comment Subject Char"/>
    <w:basedOn w:val="CommentTextChar"/>
    <w:link w:val="CommentSubject"/>
    <w:semiHidden/>
    <w:rsid w:val="00C263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35F950-D8A8-4ECC-A489-AA36B6025372}">
  <ds:schemaRefs>
    <ds:schemaRef ds:uri="http://schemas.microsoft.com/sharepoint/v3/contenttype/forms"/>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FBB6B-ABA1-409E-9782-9BADF427E4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Interstate transfers of child protection orders and proceedings</vt:lpstr>
    </vt:vector>
  </TitlesOfParts>
  <Manager>Department of Communities, Child Safety and Disability Services</Manager>
  <Company>Queensland Government</Company>
  <LinksUpToDate>false</LinksUpToDate>
  <CharactersWithSpaces>6411</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Interstate transfers of child protection orders and proceedings</dc:title>
  <dc:subject>Policy</dc:subject>
  <dc:creator>Queensland Government</dc:creator>
  <cp:keywords>interstate; transfers; child; protection; orders; proceedings; care</cp:keywords>
  <cp:lastModifiedBy>Romola Roles</cp:lastModifiedBy>
  <cp:revision>2</cp:revision>
  <dcterms:created xsi:type="dcterms:W3CDTF">2022-05-31T23:39:00Z</dcterms:created>
  <dcterms:modified xsi:type="dcterms:W3CDTF">2022-05-31T23:39:00Z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