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0D7E" w14:textId="16BEEF8B" w:rsidR="002C239E" w:rsidRDefault="008D11BB" w:rsidP="00C175D7">
      <w:pPr>
        <w:pStyle w:val="Intropara"/>
        <w:spacing w:after="0"/>
        <w:rPr>
          <w:spacing w:val="-4"/>
          <w:sz w:val="26"/>
          <w:szCs w:val="26"/>
        </w:rPr>
      </w:pPr>
      <w:r>
        <w:rPr>
          <w:noProof/>
        </w:rPr>
        <mc:AlternateContent>
          <mc:Choice Requires="wps">
            <w:drawing>
              <wp:anchor distT="0" distB="0" distL="114300" distR="114300" simplePos="0" relativeHeight="251661312" behindDoc="0" locked="0" layoutInCell="1" allowOverlap="1" wp14:anchorId="1A7CF3DA" wp14:editId="67AB1CC8">
                <wp:simplePos x="0" y="0"/>
                <wp:positionH relativeFrom="column">
                  <wp:posOffset>1007110</wp:posOffset>
                </wp:positionH>
                <wp:positionV relativeFrom="paragraph">
                  <wp:posOffset>-686435</wp:posOffset>
                </wp:positionV>
                <wp:extent cx="4305300" cy="4876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05300" cy="4876800"/>
                        </a:xfrm>
                        <a:prstGeom prst="rect">
                          <a:avLst/>
                        </a:prstGeom>
                        <a:noFill/>
                        <a:ln w="6350">
                          <a:noFill/>
                        </a:ln>
                      </wps:spPr>
                      <wps:txbx>
                        <w:txbxContent>
                          <w:p w14:paraId="4829D14E" w14:textId="5E528548" w:rsidR="008D11BB" w:rsidRDefault="008D11BB" w:rsidP="008D11BB">
                            <w:pPr>
                              <w:jc w:val="center"/>
                              <w:rPr>
                                <w:rFonts w:cs="Arial"/>
                                <w:b/>
                                <w:bCs/>
                                <w:color w:val="FFFFFF" w:themeColor="background1"/>
                                <w:sz w:val="96"/>
                                <w:szCs w:val="96"/>
                              </w:rPr>
                            </w:pPr>
                            <w:r w:rsidRPr="008D11BB">
                              <w:rPr>
                                <w:rFonts w:cs="Arial"/>
                                <w:b/>
                                <w:bCs/>
                                <w:color w:val="FFFFFF" w:themeColor="background1"/>
                                <w:sz w:val="96"/>
                                <w:szCs w:val="96"/>
                              </w:rPr>
                              <w:t>Making Decisions in Our Way</w:t>
                            </w:r>
                          </w:p>
                          <w:p w14:paraId="6D36707F" w14:textId="77777777" w:rsidR="008D11BB" w:rsidRPr="008D11BB" w:rsidRDefault="008D11BB" w:rsidP="008D11BB">
                            <w:pPr>
                              <w:jc w:val="center"/>
                              <w:rPr>
                                <w:rFonts w:cs="Arial"/>
                                <w:b/>
                                <w:bCs/>
                                <w:sz w:val="24"/>
                              </w:rPr>
                            </w:pPr>
                          </w:p>
                          <w:p w14:paraId="2E10089E" w14:textId="79B343A1" w:rsidR="008D11BB" w:rsidRPr="00B12275" w:rsidRDefault="008D11BB" w:rsidP="008D11BB">
                            <w:pPr>
                              <w:jc w:val="center"/>
                              <w:rPr>
                                <w:rFonts w:cs="Arial"/>
                                <w:b/>
                                <w:bCs/>
                                <w:sz w:val="56"/>
                                <w:szCs w:val="56"/>
                              </w:rPr>
                            </w:pPr>
                            <w:r w:rsidRPr="00B12275">
                              <w:rPr>
                                <w:rFonts w:cs="Arial"/>
                                <w:b/>
                                <w:bCs/>
                                <w:sz w:val="56"/>
                                <w:szCs w:val="56"/>
                              </w:rPr>
                              <w:t xml:space="preserve">(Delegated </w:t>
                            </w:r>
                            <w:r>
                              <w:rPr>
                                <w:rFonts w:cs="Arial"/>
                                <w:b/>
                                <w:bCs/>
                                <w:sz w:val="56"/>
                                <w:szCs w:val="56"/>
                              </w:rPr>
                              <w:t>A</w:t>
                            </w:r>
                            <w:r w:rsidRPr="00B12275">
                              <w:rPr>
                                <w:rFonts w:cs="Arial"/>
                                <w:b/>
                                <w:bCs/>
                                <w:sz w:val="56"/>
                                <w:szCs w:val="56"/>
                              </w:rPr>
                              <w:t xml:space="preserve">uthority </w:t>
                            </w:r>
                            <w:r>
                              <w:rPr>
                                <w:rFonts w:cs="Arial"/>
                                <w:b/>
                                <w:bCs/>
                                <w:sz w:val="56"/>
                                <w:szCs w:val="56"/>
                              </w:rPr>
                              <w:t>S</w:t>
                            </w:r>
                            <w:r w:rsidRPr="00B12275">
                              <w:rPr>
                                <w:rFonts w:cs="Arial"/>
                                <w:b/>
                                <w:bCs/>
                                <w:sz w:val="56"/>
                                <w:szCs w:val="56"/>
                              </w:rPr>
                              <w:t xml:space="preserve">upport </w:t>
                            </w:r>
                            <w:r>
                              <w:rPr>
                                <w:rFonts w:cs="Arial"/>
                                <w:b/>
                                <w:bCs/>
                                <w:sz w:val="56"/>
                                <w:szCs w:val="56"/>
                              </w:rPr>
                              <w:t>S</w:t>
                            </w:r>
                            <w:r w:rsidRPr="00B12275">
                              <w:rPr>
                                <w:rFonts w:cs="Arial"/>
                                <w:b/>
                                <w:bCs/>
                                <w:sz w:val="56"/>
                                <w:szCs w:val="56"/>
                              </w:rPr>
                              <w:t>ervices)</w:t>
                            </w:r>
                          </w:p>
                          <w:p w14:paraId="1ED009AE" w14:textId="77777777" w:rsidR="008D11BB" w:rsidRPr="008D11BB" w:rsidRDefault="008D11BB" w:rsidP="008D11BB">
                            <w:pPr>
                              <w:jc w:val="center"/>
                              <w:rPr>
                                <w:rFonts w:cs="Arial"/>
                                <w:b/>
                                <w:bCs/>
                                <w:color w:val="FFFFFF" w:themeColor="background1"/>
                                <w:sz w:val="24"/>
                                <w:szCs w:val="28"/>
                              </w:rPr>
                            </w:pPr>
                          </w:p>
                          <w:p w14:paraId="199B56F3" w14:textId="33071064" w:rsidR="000E605C" w:rsidRPr="008D11BB" w:rsidRDefault="008D11BB" w:rsidP="008D11BB">
                            <w:pPr>
                              <w:jc w:val="center"/>
                              <w:rPr>
                                <w:rFonts w:cs="Arial"/>
                                <w:b/>
                                <w:bCs/>
                                <w:szCs w:val="22"/>
                              </w:rPr>
                            </w:pPr>
                            <w:r w:rsidRPr="008D11BB">
                              <w:rPr>
                                <w:rFonts w:cs="Arial"/>
                                <w:b/>
                                <w:bCs/>
                                <w:sz w:val="56"/>
                                <w:szCs w:val="56"/>
                              </w:rPr>
                              <w:t>Brokerage Funding Guidelines</w:t>
                            </w:r>
                          </w:p>
                          <w:p w14:paraId="56A51264" w14:textId="3B68153C" w:rsidR="000E605C" w:rsidRPr="000E605C" w:rsidRDefault="000E605C" w:rsidP="0056595B">
                            <w:pPr>
                              <w:pStyle w:val="DAsubheading"/>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CF3DA" id="_x0000_t202" coordsize="21600,21600" o:spt="202" path="m,l,21600r21600,l21600,xe">
                <v:stroke joinstyle="miter"/>
                <v:path gradientshapeok="t" o:connecttype="rect"/>
              </v:shapetype>
              <v:shape id="Text Box 1" o:spid="_x0000_s1026" type="#_x0000_t202" style="position:absolute;margin-left:79.3pt;margin-top:-54.05pt;width:339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" filled="f" stroked="f" strokeweight=".5pt">
                <v:textbox inset="0,0,0,0">
                  <w:txbxContent>
                    <w:p w14:paraId="4829D14E" w14:textId="5E528548" w:rsidR="008D11BB" w:rsidRDefault="008D11BB" w:rsidP="008D11BB">
                      <w:pPr>
                        <w:jc w:val="center"/>
                        <w:rPr>
                          <w:rFonts w:cs="Arial"/>
                          <w:b/>
                          <w:bCs/>
                          <w:color w:val="FFFFFF" w:themeColor="background1"/>
                          <w:sz w:val="96"/>
                          <w:szCs w:val="96"/>
                        </w:rPr>
                      </w:pPr>
                      <w:r w:rsidRPr="008D11BB">
                        <w:rPr>
                          <w:rFonts w:cs="Arial"/>
                          <w:b/>
                          <w:bCs/>
                          <w:color w:val="FFFFFF" w:themeColor="background1"/>
                          <w:sz w:val="96"/>
                          <w:szCs w:val="96"/>
                        </w:rPr>
                        <w:t>Making Decisions in Our Way</w:t>
                      </w:r>
                    </w:p>
                    <w:p w14:paraId="6D36707F" w14:textId="77777777" w:rsidR="008D11BB" w:rsidRPr="008D11BB" w:rsidRDefault="008D11BB" w:rsidP="008D11BB">
                      <w:pPr>
                        <w:jc w:val="center"/>
                        <w:rPr>
                          <w:rFonts w:cs="Arial"/>
                          <w:b/>
                          <w:bCs/>
                          <w:sz w:val="24"/>
                        </w:rPr>
                      </w:pPr>
                    </w:p>
                    <w:p w14:paraId="2E10089E" w14:textId="79B343A1" w:rsidR="008D11BB" w:rsidRPr="00B12275" w:rsidRDefault="008D11BB" w:rsidP="008D11BB">
                      <w:pPr>
                        <w:jc w:val="center"/>
                        <w:rPr>
                          <w:rFonts w:cs="Arial"/>
                          <w:b/>
                          <w:bCs/>
                          <w:sz w:val="56"/>
                          <w:szCs w:val="56"/>
                        </w:rPr>
                      </w:pPr>
                      <w:r w:rsidRPr="00B12275">
                        <w:rPr>
                          <w:rFonts w:cs="Arial"/>
                          <w:b/>
                          <w:bCs/>
                          <w:sz w:val="56"/>
                          <w:szCs w:val="56"/>
                        </w:rPr>
                        <w:t xml:space="preserve">(Delegated </w:t>
                      </w:r>
                      <w:r>
                        <w:rPr>
                          <w:rFonts w:cs="Arial"/>
                          <w:b/>
                          <w:bCs/>
                          <w:sz w:val="56"/>
                          <w:szCs w:val="56"/>
                        </w:rPr>
                        <w:t>A</w:t>
                      </w:r>
                      <w:r w:rsidRPr="00B12275">
                        <w:rPr>
                          <w:rFonts w:cs="Arial"/>
                          <w:b/>
                          <w:bCs/>
                          <w:sz w:val="56"/>
                          <w:szCs w:val="56"/>
                        </w:rPr>
                        <w:t xml:space="preserve">uthority </w:t>
                      </w:r>
                      <w:r>
                        <w:rPr>
                          <w:rFonts w:cs="Arial"/>
                          <w:b/>
                          <w:bCs/>
                          <w:sz w:val="56"/>
                          <w:szCs w:val="56"/>
                        </w:rPr>
                        <w:t>S</w:t>
                      </w:r>
                      <w:r w:rsidRPr="00B12275">
                        <w:rPr>
                          <w:rFonts w:cs="Arial"/>
                          <w:b/>
                          <w:bCs/>
                          <w:sz w:val="56"/>
                          <w:szCs w:val="56"/>
                        </w:rPr>
                        <w:t xml:space="preserve">upport </w:t>
                      </w:r>
                      <w:r>
                        <w:rPr>
                          <w:rFonts w:cs="Arial"/>
                          <w:b/>
                          <w:bCs/>
                          <w:sz w:val="56"/>
                          <w:szCs w:val="56"/>
                        </w:rPr>
                        <w:t>S</w:t>
                      </w:r>
                      <w:r w:rsidRPr="00B12275">
                        <w:rPr>
                          <w:rFonts w:cs="Arial"/>
                          <w:b/>
                          <w:bCs/>
                          <w:sz w:val="56"/>
                          <w:szCs w:val="56"/>
                        </w:rPr>
                        <w:t>ervices)</w:t>
                      </w:r>
                    </w:p>
                    <w:p w14:paraId="1ED009AE" w14:textId="77777777" w:rsidR="008D11BB" w:rsidRPr="008D11BB" w:rsidRDefault="008D11BB" w:rsidP="008D11BB">
                      <w:pPr>
                        <w:jc w:val="center"/>
                        <w:rPr>
                          <w:rFonts w:cs="Arial"/>
                          <w:b/>
                          <w:bCs/>
                          <w:color w:val="FFFFFF" w:themeColor="background1"/>
                          <w:sz w:val="24"/>
                          <w:szCs w:val="28"/>
                        </w:rPr>
                      </w:pPr>
                    </w:p>
                    <w:p w14:paraId="199B56F3" w14:textId="33071064" w:rsidR="000E605C" w:rsidRPr="008D11BB" w:rsidRDefault="008D11BB" w:rsidP="008D11BB">
                      <w:pPr>
                        <w:jc w:val="center"/>
                        <w:rPr>
                          <w:rFonts w:cs="Arial"/>
                          <w:b/>
                          <w:bCs/>
                          <w:szCs w:val="22"/>
                        </w:rPr>
                      </w:pPr>
                      <w:r w:rsidRPr="008D11BB">
                        <w:rPr>
                          <w:rFonts w:cs="Arial"/>
                          <w:b/>
                          <w:bCs/>
                          <w:sz w:val="56"/>
                          <w:szCs w:val="56"/>
                        </w:rPr>
                        <w:t>Brokerage Funding Guidelines</w:t>
                      </w:r>
                    </w:p>
                    <w:p w14:paraId="56A51264" w14:textId="3B68153C" w:rsidR="000E605C" w:rsidRPr="000E605C" w:rsidRDefault="000E605C" w:rsidP="0056595B">
                      <w:pPr>
                        <w:pStyle w:val="DAsubheading"/>
                        <w:rPr>
                          <w:color w:val="000000" w:themeColor="text1"/>
                        </w:rPr>
                      </w:pPr>
                    </w:p>
                  </w:txbxContent>
                </v:textbox>
              </v:shape>
            </w:pict>
          </mc:Fallback>
        </mc:AlternateContent>
      </w:r>
    </w:p>
    <w:p w14:paraId="550AEC40" w14:textId="7A21C49B" w:rsidR="006C64C0" w:rsidRPr="00425D06" w:rsidRDefault="006C64C0" w:rsidP="00425D06">
      <w:pPr>
        <w:pStyle w:val="DAHeading1"/>
        <w:sectPr w:rsidR="006C64C0" w:rsidRPr="00425D06" w:rsidSect="005A2FA7">
          <w:headerReference w:type="default" r:id="rId8"/>
          <w:footerReference w:type="even" r:id="rId9"/>
          <w:footerReference w:type="default" r:id="rId10"/>
          <w:headerReference w:type="first" r:id="rId11"/>
          <w:footerReference w:type="first" r:id="rId12"/>
          <w:type w:val="continuous"/>
          <w:pgSz w:w="11900" w:h="16840" w:code="9"/>
          <w:pgMar w:top="1701" w:right="964" w:bottom="851" w:left="964" w:header="284" w:footer="709" w:gutter="0"/>
          <w:pgNumType w:start="1"/>
          <w:cols w:space="708"/>
          <w:titlePg/>
          <w:docGrid w:linePitch="360"/>
        </w:sectPr>
      </w:pPr>
    </w:p>
    <w:p w14:paraId="6E969EE7" w14:textId="1624A447" w:rsidR="002C239E" w:rsidRDefault="002C239E" w:rsidP="00C175D7">
      <w:pPr>
        <w:pStyle w:val="Intropara"/>
        <w:spacing w:after="0"/>
        <w:rPr>
          <w:spacing w:val="-4"/>
          <w:sz w:val="26"/>
          <w:szCs w:val="26"/>
        </w:rPr>
      </w:pPr>
    </w:p>
    <w:p w14:paraId="79740EF4" w14:textId="746E918F" w:rsidR="006E396E" w:rsidRPr="006E396E" w:rsidRDefault="006E396E" w:rsidP="006E396E"/>
    <w:p w14:paraId="50D322F2" w14:textId="4EF06B77" w:rsidR="006E396E" w:rsidRPr="006E396E" w:rsidRDefault="006E396E" w:rsidP="006E396E"/>
    <w:p w14:paraId="78578DFE" w14:textId="51EF3A57" w:rsidR="006E396E" w:rsidRPr="006E396E" w:rsidRDefault="006E396E" w:rsidP="006E396E"/>
    <w:p w14:paraId="619DF930" w14:textId="490DF85B" w:rsidR="006E396E" w:rsidRPr="006E396E" w:rsidRDefault="006E396E" w:rsidP="006E396E"/>
    <w:p w14:paraId="7CDE1BE9" w14:textId="6FE1C0F6" w:rsidR="006E396E" w:rsidRPr="006E396E" w:rsidRDefault="006E396E" w:rsidP="006E396E"/>
    <w:p w14:paraId="42B49F5E" w14:textId="2652B8AF" w:rsidR="006E396E" w:rsidRPr="006E396E" w:rsidRDefault="006E396E" w:rsidP="006E396E"/>
    <w:p w14:paraId="4E83DBC1" w14:textId="33924E36" w:rsidR="006E396E" w:rsidRPr="006E396E" w:rsidRDefault="006E396E" w:rsidP="006E396E"/>
    <w:p w14:paraId="0ECF31F5" w14:textId="3DBC2A4B" w:rsidR="006E396E" w:rsidRPr="006E396E" w:rsidRDefault="006E396E" w:rsidP="006E396E"/>
    <w:p w14:paraId="76AF521D" w14:textId="644A69C8" w:rsidR="006E396E" w:rsidRPr="006E396E" w:rsidRDefault="006E396E" w:rsidP="006E396E"/>
    <w:p w14:paraId="501C4564" w14:textId="0E96706E" w:rsidR="006E396E" w:rsidRPr="006E396E" w:rsidRDefault="006E396E" w:rsidP="006E396E"/>
    <w:p w14:paraId="55EC103B" w14:textId="161D8D32" w:rsidR="006E396E" w:rsidRPr="006E396E" w:rsidRDefault="006E396E" w:rsidP="006E396E"/>
    <w:p w14:paraId="5BD9A466" w14:textId="2D5F61C6" w:rsidR="006E396E" w:rsidRPr="006E396E" w:rsidRDefault="006E396E" w:rsidP="006E396E"/>
    <w:p w14:paraId="4977A037" w14:textId="58B7F4EE" w:rsidR="006E396E" w:rsidRPr="006E396E" w:rsidRDefault="006E396E" w:rsidP="006E396E"/>
    <w:p w14:paraId="75E44715" w14:textId="45117B5D" w:rsidR="006E396E" w:rsidRPr="006E396E" w:rsidRDefault="006E396E" w:rsidP="006E396E"/>
    <w:p w14:paraId="682EC18A" w14:textId="6889760E" w:rsidR="006E396E" w:rsidRPr="006E396E" w:rsidRDefault="006E396E" w:rsidP="006E396E"/>
    <w:p w14:paraId="431239CF" w14:textId="4D7C49EB" w:rsidR="006E396E" w:rsidRPr="006E396E" w:rsidRDefault="006E396E" w:rsidP="006E396E"/>
    <w:p w14:paraId="1E6598DF" w14:textId="65C0534E" w:rsidR="006E396E" w:rsidRPr="006E396E" w:rsidRDefault="006E396E" w:rsidP="006E396E"/>
    <w:p w14:paraId="1D5BC80A" w14:textId="47FEAB6F" w:rsidR="006E396E" w:rsidRPr="006E396E" w:rsidRDefault="006E396E" w:rsidP="006E396E"/>
    <w:p w14:paraId="11CE7AFF" w14:textId="075157A8" w:rsidR="006E396E" w:rsidRPr="006E396E" w:rsidRDefault="006E396E" w:rsidP="006E396E"/>
    <w:p w14:paraId="7B14A65F" w14:textId="75C1D186" w:rsidR="006E396E" w:rsidRPr="006E396E" w:rsidRDefault="006E396E" w:rsidP="006E396E"/>
    <w:p w14:paraId="7DCC48FA" w14:textId="570B87F3" w:rsidR="000351DF" w:rsidRPr="006E396E" w:rsidRDefault="000351DF" w:rsidP="006E396E">
      <w:r>
        <w:t>]</w:t>
      </w:r>
    </w:p>
    <w:p w14:paraId="747D3C8B" w14:textId="127ECA2F" w:rsidR="006E396E" w:rsidRPr="006E396E" w:rsidRDefault="006E396E" w:rsidP="006E396E"/>
    <w:p w14:paraId="2BFF9F66" w14:textId="6A1E888A" w:rsidR="006E396E" w:rsidRPr="006E396E" w:rsidRDefault="006E396E" w:rsidP="006E396E"/>
    <w:p w14:paraId="04260F6A" w14:textId="30690255" w:rsidR="006E396E" w:rsidRPr="006E396E" w:rsidRDefault="003A6D51" w:rsidP="006E396E">
      <w:r>
        <w:rPr>
          <w:noProof/>
        </w:rPr>
        <mc:AlternateContent>
          <mc:Choice Requires="wps">
            <w:drawing>
              <wp:anchor distT="45720" distB="45720" distL="114300" distR="114300" simplePos="0" relativeHeight="251663360" behindDoc="1" locked="0" layoutInCell="1" allowOverlap="1" wp14:anchorId="59074E04" wp14:editId="634D0973">
                <wp:simplePos x="0" y="0"/>
                <wp:positionH relativeFrom="column">
                  <wp:posOffset>4988560</wp:posOffset>
                </wp:positionH>
                <wp:positionV relativeFrom="paragraph">
                  <wp:posOffset>49530</wp:posOffset>
                </wp:positionV>
                <wp:extent cx="1538605" cy="476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476250"/>
                        </a:xfrm>
                        <a:prstGeom prst="rect">
                          <a:avLst/>
                        </a:prstGeom>
                        <a:noFill/>
                        <a:ln w="9525">
                          <a:noFill/>
                          <a:miter lim="800000"/>
                          <a:headEnd/>
                          <a:tailEnd/>
                        </a:ln>
                      </wps:spPr>
                      <wps:txbx>
                        <w:txbxContent>
                          <w:p w14:paraId="6FD85255" w14:textId="5BDA38AD" w:rsidR="003A6D51" w:rsidRPr="00413C6C" w:rsidRDefault="003A6D51" w:rsidP="003A6D51">
                            <w:pPr>
                              <w:jc w:val="right"/>
                              <w:rPr>
                                <w:rFonts w:cs="Arial"/>
                                <w:b/>
                                <w:bCs/>
                                <w:sz w:val="20"/>
                                <w:szCs w:val="22"/>
                              </w:rPr>
                            </w:pPr>
                            <w:r w:rsidRPr="00413C6C">
                              <w:rPr>
                                <w:rFonts w:cs="Arial"/>
                                <w:b/>
                                <w:bCs/>
                                <w:sz w:val="20"/>
                                <w:szCs w:val="22"/>
                              </w:rPr>
                              <w:t>Version 1.0</w:t>
                            </w:r>
                          </w:p>
                          <w:p w14:paraId="5DBD352A" w14:textId="6E24C539" w:rsidR="003A6D51" w:rsidRPr="00413C6C" w:rsidRDefault="003A6D51" w:rsidP="003A6D51">
                            <w:pPr>
                              <w:jc w:val="right"/>
                              <w:rPr>
                                <w:rFonts w:cs="Arial"/>
                                <w:b/>
                                <w:bCs/>
                                <w:sz w:val="20"/>
                                <w:szCs w:val="22"/>
                              </w:rPr>
                            </w:pPr>
                            <w:r w:rsidRPr="00413C6C">
                              <w:rPr>
                                <w:rFonts w:cs="Arial"/>
                                <w:b/>
                                <w:bCs/>
                                <w:sz w:val="20"/>
                                <w:szCs w:val="22"/>
                              </w:rPr>
                              <w:t>Effective 01/12/2023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74E04" id="Text Box 2" o:spid="_x0000_s1027" type="#_x0000_t202" style="position:absolute;margin-left:392.8pt;margin-top:3.9pt;width:121.15pt;height: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" filled="f" stroked="f">
                <v:textbox>
                  <w:txbxContent>
                    <w:p w14:paraId="6FD85255" w14:textId="5BDA38AD" w:rsidR="003A6D51" w:rsidRPr="00413C6C" w:rsidRDefault="003A6D51" w:rsidP="003A6D51">
                      <w:pPr>
                        <w:jc w:val="right"/>
                        <w:rPr>
                          <w:rFonts w:cs="Arial"/>
                          <w:b/>
                          <w:bCs/>
                          <w:sz w:val="20"/>
                          <w:szCs w:val="22"/>
                        </w:rPr>
                      </w:pPr>
                      <w:r w:rsidRPr="00413C6C">
                        <w:rPr>
                          <w:rFonts w:cs="Arial"/>
                          <w:b/>
                          <w:bCs/>
                          <w:sz w:val="20"/>
                          <w:szCs w:val="22"/>
                        </w:rPr>
                        <w:t>Version 1.0</w:t>
                      </w:r>
                    </w:p>
                    <w:p w14:paraId="5DBD352A" w14:textId="6E24C539" w:rsidR="003A6D51" w:rsidRPr="00413C6C" w:rsidRDefault="003A6D51" w:rsidP="003A6D51">
                      <w:pPr>
                        <w:jc w:val="right"/>
                        <w:rPr>
                          <w:rFonts w:cs="Arial"/>
                          <w:b/>
                          <w:bCs/>
                          <w:sz w:val="20"/>
                          <w:szCs w:val="22"/>
                        </w:rPr>
                      </w:pPr>
                      <w:r w:rsidRPr="00413C6C">
                        <w:rPr>
                          <w:rFonts w:cs="Arial"/>
                          <w:b/>
                          <w:bCs/>
                          <w:sz w:val="20"/>
                          <w:szCs w:val="22"/>
                        </w:rPr>
                        <w:t>Effective 01/12/2023</w:t>
                      </w:r>
                    </w:p>
                  </w:txbxContent>
                </v:textbox>
              </v:shape>
            </w:pict>
          </mc:Fallback>
        </mc:AlternateContent>
      </w:r>
    </w:p>
    <w:p w14:paraId="3DE6E5E2" w14:textId="5E0DF00F" w:rsidR="006E396E" w:rsidRPr="006E396E" w:rsidRDefault="006E396E" w:rsidP="006E396E"/>
    <w:p w14:paraId="57BF4AEF" w14:textId="60AAAAB5" w:rsidR="006E396E" w:rsidRPr="006E396E" w:rsidRDefault="006E396E" w:rsidP="006E396E"/>
    <w:p w14:paraId="0E63D393" w14:textId="26B85E82" w:rsidR="006E396E" w:rsidRPr="006E396E" w:rsidRDefault="006E396E" w:rsidP="006E396E"/>
    <w:p w14:paraId="0A0E6C3C" w14:textId="665AE674" w:rsidR="006E396E" w:rsidRPr="006E396E" w:rsidRDefault="006E396E" w:rsidP="006E396E"/>
    <w:p w14:paraId="4847D3DF" w14:textId="0697E2CA" w:rsidR="006E396E" w:rsidRDefault="006E396E" w:rsidP="006E396E">
      <w:pPr>
        <w:rPr>
          <w:color w:val="C01C7C"/>
          <w:spacing w:val="-4"/>
          <w:sz w:val="26"/>
          <w:szCs w:val="26"/>
        </w:rPr>
      </w:pPr>
    </w:p>
    <w:p w14:paraId="0BE40B85" w14:textId="77777777" w:rsidR="006E396E" w:rsidRPr="006E396E" w:rsidRDefault="006E396E" w:rsidP="006E396E"/>
    <w:p w14:paraId="41F7D8AE" w14:textId="77777777" w:rsidR="00413C6C" w:rsidRPr="00413C6C" w:rsidRDefault="00413C6C" w:rsidP="005E52E9">
      <w:pPr>
        <w:pStyle w:val="DAheading2"/>
      </w:pPr>
      <w:r w:rsidRPr="00413C6C">
        <w:lastRenderedPageBreak/>
        <w:t>Acknowledgement of Traditional Owners</w:t>
      </w:r>
    </w:p>
    <w:p w14:paraId="5C405A8F" w14:textId="7F536802" w:rsidR="00413C6C" w:rsidRDefault="00413C6C" w:rsidP="00413C6C">
      <w:pPr>
        <w:rPr>
          <w:rFonts w:cs="Arial"/>
          <w:szCs w:val="22"/>
        </w:rPr>
      </w:pPr>
      <w:r w:rsidRPr="00413C6C">
        <w:rPr>
          <w:rFonts w:cs="Arial"/>
          <w:szCs w:val="22"/>
        </w:rPr>
        <w:t>The Department of Child Safety, Seniors and Disability Services (the department) acknowledges the Aboriginal and Torres Strait Islander peoples as the Traditional Owners and Custodians of Country on which the department operates. We respect the self-determination of Aboriginal and Torres Strait Islander peoples and recognise their deep cultural, physical and spiritual connections to unceded lands, winds, sky and waters. We pay our respects to Elders past and present and value their ongoing contribution in empowering communities to determine their own futures.</w:t>
      </w:r>
      <w:r>
        <w:rPr>
          <w:rFonts w:cs="Arial"/>
          <w:szCs w:val="22"/>
        </w:rPr>
        <w:br w:type="page"/>
      </w:r>
    </w:p>
    <w:sdt>
      <w:sdtPr>
        <w:rPr>
          <w:b w:val="0"/>
          <w:bCs w:val="0"/>
          <w:color w:val="auto"/>
          <w:spacing w:val="0"/>
          <w:sz w:val="22"/>
          <w:szCs w:val="24"/>
        </w:rPr>
        <w:id w:val="485060167"/>
        <w:docPartObj>
          <w:docPartGallery w:val="Table of Contents"/>
          <w:docPartUnique/>
        </w:docPartObj>
      </w:sdtPr>
      <w:sdtEndPr>
        <w:rPr>
          <w:noProof/>
        </w:rPr>
      </w:sdtEndPr>
      <w:sdtContent>
        <w:p w14:paraId="7942EF85" w14:textId="128B8B8A" w:rsidR="00413C6C" w:rsidRDefault="00413C6C" w:rsidP="00E93B96">
          <w:pPr>
            <w:pStyle w:val="DAheading2"/>
          </w:pPr>
          <w:r>
            <w:t>Contents</w:t>
          </w:r>
        </w:p>
        <w:p w14:paraId="6CFD3016" w14:textId="3D05FA44" w:rsidR="00A4072E" w:rsidRPr="00A4072E" w:rsidRDefault="00413C6C">
          <w:pPr>
            <w:pStyle w:val="TOC1"/>
            <w:tabs>
              <w:tab w:val="left" w:pos="440"/>
              <w:tab w:val="right" w:leader="dot" w:pos="9962"/>
            </w:tabs>
            <w:rPr>
              <w:rFonts w:asciiTheme="minorHAnsi" w:eastAsiaTheme="minorEastAsia" w:hAnsiTheme="minorHAnsi"/>
              <w:b/>
              <w:bCs/>
              <w:noProof/>
              <w:sz w:val="24"/>
              <w:lang w:eastAsia="en-AU"/>
            </w:rPr>
          </w:pPr>
          <w:r w:rsidRPr="00A4072E">
            <w:rPr>
              <w:b/>
              <w:bCs/>
            </w:rPr>
            <w:fldChar w:fldCharType="begin"/>
          </w:r>
          <w:r w:rsidRPr="00A4072E">
            <w:rPr>
              <w:b/>
              <w:bCs/>
            </w:rPr>
            <w:instrText xml:space="preserve"> TOC \o "1-3" \h \z \u </w:instrText>
          </w:r>
          <w:r w:rsidRPr="00A4072E">
            <w:rPr>
              <w:b/>
              <w:bCs/>
            </w:rPr>
            <w:fldChar w:fldCharType="separate"/>
          </w:r>
          <w:hyperlink w:anchor="_Toc152666354" w:history="1">
            <w:r w:rsidR="00A4072E" w:rsidRPr="00A4072E">
              <w:rPr>
                <w:rStyle w:val="Hyperlink"/>
                <w:b/>
                <w:bCs/>
                <w:noProof/>
                <w:sz w:val="24"/>
                <w:szCs w:val="28"/>
              </w:rPr>
              <w:t>1.</w:t>
            </w:r>
            <w:r w:rsidR="00A4072E" w:rsidRPr="00A4072E">
              <w:rPr>
                <w:rFonts w:asciiTheme="minorHAnsi" w:eastAsiaTheme="minorEastAsia" w:hAnsiTheme="minorHAnsi"/>
                <w:b/>
                <w:bCs/>
                <w:noProof/>
                <w:sz w:val="24"/>
                <w:lang w:eastAsia="en-AU"/>
              </w:rPr>
              <w:tab/>
            </w:r>
            <w:r w:rsidR="00A4072E" w:rsidRPr="00A4072E">
              <w:rPr>
                <w:rStyle w:val="Hyperlink"/>
                <w:b/>
                <w:bCs/>
                <w:noProof/>
                <w:sz w:val="24"/>
                <w:szCs w:val="28"/>
              </w:rPr>
              <w:t>Introduction</w:t>
            </w:r>
            <w:r w:rsidR="00A4072E" w:rsidRPr="00A4072E">
              <w:rPr>
                <w:b/>
                <w:bCs/>
                <w:noProof/>
                <w:webHidden/>
                <w:sz w:val="24"/>
                <w:szCs w:val="28"/>
              </w:rPr>
              <w:tab/>
            </w:r>
            <w:r w:rsidR="00A4072E" w:rsidRPr="00A4072E">
              <w:rPr>
                <w:b/>
                <w:bCs/>
                <w:noProof/>
                <w:webHidden/>
                <w:sz w:val="24"/>
                <w:szCs w:val="28"/>
              </w:rPr>
              <w:fldChar w:fldCharType="begin"/>
            </w:r>
            <w:r w:rsidR="00A4072E" w:rsidRPr="00A4072E">
              <w:rPr>
                <w:b/>
                <w:bCs/>
                <w:noProof/>
                <w:webHidden/>
                <w:sz w:val="24"/>
                <w:szCs w:val="28"/>
              </w:rPr>
              <w:instrText xml:space="preserve"> PAGEREF _Toc152666354 \h </w:instrText>
            </w:r>
            <w:r w:rsidR="00A4072E" w:rsidRPr="00A4072E">
              <w:rPr>
                <w:b/>
                <w:bCs/>
                <w:noProof/>
                <w:webHidden/>
                <w:sz w:val="24"/>
                <w:szCs w:val="28"/>
              </w:rPr>
            </w:r>
            <w:r w:rsidR="00A4072E" w:rsidRPr="00A4072E">
              <w:rPr>
                <w:b/>
                <w:bCs/>
                <w:noProof/>
                <w:webHidden/>
                <w:sz w:val="24"/>
                <w:szCs w:val="28"/>
              </w:rPr>
              <w:fldChar w:fldCharType="separate"/>
            </w:r>
            <w:r w:rsidR="00AC0FFB">
              <w:rPr>
                <w:b/>
                <w:bCs/>
                <w:noProof/>
                <w:webHidden/>
                <w:sz w:val="24"/>
                <w:szCs w:val="28"/>
              </w:rPr>
              <w:t>4</w:t>
            </w:r>
            <w:r w:rsidR="00A4072E" w:rsidRPr="00A4072E">
              <w:rPr>
                <w:b/>
                <w:bCs/>
                <w:noProof/>
                <w:webHidden/>
                <w:sz w:val="24"/>
                <w:szCs w:val="28"/>
              </w:rPr>
              <w:fldChar w:fldCharType="end"/>
            </w:r>
          </w:hyperlink>
        </w:p>
        <w:p w14:paraId="482AB048" w14:textId="55C507F5" w:rsidR="00A4072E" w:rsidRPr="00A4072E" w:rsidRDefault="00335526">
          <w:pPr>
            <w:pStyle w:val="TOC1"/>
            <w:tabs>
              <w:tab w:val="left" w:pos="440"/>
              <w:tab w:val="right" w:leader="dot" w:pos="9962"/>
            </w:tabs>
            <w:rPr>
              <w:rFonts w:asciiTheme="minorHAnsi" w:eastAsiaTheme="minorEastAsia" w:hAnsiTheme="minorHAnsi"/>
              <w:b/>
              <w:bCs/>
              <w:noProof/>
              <w:sz w:val="24"/>
              <w:lang w:eastAsia="en-AU"/>
            </w:rPr>
          </w:pPr>
          <w:hyperlink w:anchor="_Toc152666355" w:history="1">
            <w:r w:rsidR="00A4072E" w:rsidRPr="00A4072E">
              <w:rPr>
                <w:rStyle w:val="Hyperlink"/>
                <w:b/>
                <w:bCs/>
                <w:noProof/>
                <w:sz w:val="24"/>
                <w:szCs w:val="28"/>
              </w:rPr>
              <w:t>2.</w:t>
            </w:r>
            <w:r w:rsidR="00A4072E" w:rsidRPr="00A4072E">
              <w:rPr>
                <w:rFonts w:asciiTheme="minorHAnsi" w:eastAsiaTheme="minorEastAsia" w:hAnsiTheme="minorHAnsi"/>
                <w:b/>
                <w:bCs/>
                <w:noProof/>
                <w:sz w:val="24"/>
                <w:lang w:eastAsia="en-AU"/>
              </w:rPr>
              <w:tab/>
            </w:r>
            <w:r w:rsidR="00A4072E" w:rsidRPr="00A4072E">
              <w:rPr>
                <w:rStyle w:val="Hyperlink"/>
                <w:b/>
                <w:bCs/>
                <w:noProof/>
                <w:sz w:val="24"/>
                <w:szCs w:val="28"/>
              </w:rPr>
              <w:t>Purpose of brokerage funding</w:t>
            </w:r>
            <w:r w:rsidR="00A4072E" w:rsidRPr="00A4072E">
              <w:rPr>
                <w:b/>
                <w:bCs/>
                <w:noProof/>
                <w:webHidden/>
                <w:sz w:val="24"/>
                <w:szCs w:val="28"/>
              </w:rPr>
              <w:tab/>
            </w:r>
            <w:r w:rsidR="00A4072E" w:rsidRPr="00A4072E">
              <w:rPr>
                <w:b/>
                <w:bCs/>
                <w:noProof/>
                <w:webHidden/>
                <w:sz w:val="24"/>
                <w:szCs w:val="28"/>
              </w:rPr>
              <w:fldChar w:fldCharType="begin"/>
            </w:r>
            <w:r w:rsidR="00A4072E" w:rsidRPr="00A4072E">
              <w:rPr>
                <w:b/>
                <w:bCs/>
                <w:noProof/>
                <w:webHidden/>
                <w:sz w:val="24"/>
                <w:szCs w:val="28"/>
              </w:rPr>
              <w:instrText xml:space="preserve"> PAGEREF _Toc152666355 \h </w:instrText>
            </w:r>
            <w:r w:rsidR="00A4072E" w:rsidRPr="00A4072E">
              <w:rPr>
                <w:b/>
                <w:bCs/>
                <w:noProof/>
                <w:webHidden/>
                <w:sz w:val="24"/>
                <w:szCs w:val="28"/>
              </w:rPr>
            </w:r>
            <w:r w:rsidR="00A4072E" w:rsidRPr="00A4072E">
              <w:rPr>
                <w:b/>
                <w:bCs/>
                <w:noProof/>
                <w:webHidden/>
                <w:sz w:val="24"/>
                <w:szCs w:val="28"/>
              </w:rPr>
              <w:fldChar w:fldCharType="separate"/>
            </w:r>
            <w:r w:rsidR="00AC0FFB">
              <w:rPr>
                <w:b/>
                <w:bCs/>
                <w:noProof/>
                <w:webHidden/>
                <w:sz w:val="24"/>
                <w:szCs w:val="28"/>
              </w:rPr>
              <w:t>4</w:t>
            </w:r>
            <w:r w:rsidR="00A4072E" w:rsidRPr="00A4072E">
              <w:rPr>
                <w:b/>
                <w:bCs/>
                <w:noProof/>
                <w:webHidden/>
                <w:sz w:val="24"/>
                <w:szCs w:val="28"/>
              </w:rPr>
              <w:fldChar w:fldCharType="end"/>
            </w:r>
          </w:hyperlink>
        </w:p>
        <w:p w14:paraId="28B99067" w14:textId="6268713A" w:rsidR="00A4072E" w:rsidRPr="00A4072E" w:rsidRDefault="00335526">
          <w:pPr>
            <w:pStyle w:val="TOC1"/>
            <w:tabs>
              <w:tab w:val="left" w:pos="440"/>
              <w:tab w:val="right" w:leader="dot" w:pos="9962"/>
            </w:tabs>
            <w:rPr>
              <w:rFonts w:asciiTheme="minorHAnsi" w:eastAsiaTheme="minorEastAsia" w:hAnsiTheme="minorHAnsi"/>
              <w:b/>
              <w:bCs/>
              <w:noProof/>
              <w:sz w:val="24"/>
              <w:lang w:eastAsia="en-AU"/>
            </w:rPr>
          </w:pPr>
          <w:hyperlink w:anchor="_Toc152666356" w:history="1">
            <w:r w:rsidR="00A4072E" w:rsidRPr="00A4072E">
              <w:rPr>
                <w:rStyle w:val="Hyperlink"/>
                <w:b/>
                <w:bCs/>
                <w:noProof/>
                <w:sz w:val="24"/>
                <w:szCs w:val="28"/>
              </w:rPr>
              <w:t>3.</w:t>
            </w:r>
            <w:r w:rsidR="00A4072E" w:rsidRPr="00A4072E">
              <w:rPr>
                <w:rFonts w:asciiTheme="minorHAnsi" w:eastAsiaTheme="minorEastAsia" w:hAnsiTheme="minorHAnsi"/>
                <w:b/>
                <w:bCs/>
                <w:noProof/>
                <w:sz w:val="24"/>
                <w:lang w:eastAsia="en-AU"/>
              </w:rPr>
              <w:tab/>
            </w:r>
            <w:r w:rsidR="00A4072E" w:rsidRPr="00A4072E">
              <w:rPr>
                <w:rStyle w:val="Hyperlink"/>
                <w:b/>
                <w:bCs/>
                <w:noProof/>
                <w:sz w:val="24"/>
                <w:szCs w:val="28"/>
              </w:rPr>
              <w:t>Scope</w:t>
            </w:r>
            <w:r w:rsidR="00A4072E" w:rsidRPr="00A4072E">
              <w:rPr>
                <w:b/>
                <w:bCs/>
                <w:noProof/>
                <w:webHidden/>
                <w:sz w:val="24"/>
                <w:szCs w:val="28"/>
              </w:rPr>
              <w:tab/>
            </w:r>
            <w:r w:rsidR="00A4072E" w:rsidRPr="00A4072E">
              <w:rPr>
                <w:b/>
                <w:bCs/>
                <w:noProof/>
                <w:webHidden/>
                <w:sz w:val="24"/>
                <w:szCs w:val="28"/>
              </w:rPr>
              <w:fldChar w:fldCharType="begin"/>
            </w:r>
            <w:r w:rsidR="00A4072E" w:rsidRPr="00A4072E">
              <w:rPr>
                <w:b/>
                <w:bCs/>
                <w:noProof/>
                <w:webHidden/>
                <w:sz w:val="24"/>
                <w:szCs w:val="28"/>
              </w:rPr>
              <w:instrText xml:space="preserve"> PAGEREF _Toc152666356 \h </w:instrText>
            </w:r>
            <w:r w:rsidR="00A4072E" w:rsidRPr="00A4072E">
              <w:rPr>
                <w:b/>
                <w:bCs/>
                <w:noProof/>
                <w:webHidden/>
                <w:sz w:val="24"/>
                <w:szCs w:val="28"/>
              </w:rPr>
            </w:r>
            <w:r w:rsidR="00A4072E" w:rsidRPr="00A4072E">
              <w:rPr>
                <w:b/>
                <w:bCs/>
                <w:noProof/>
                <w:webHidden/>
                <w:sz w:val="24"/>
                <w:szCs w:val="28"/>
              </w:rPr>
              <w:fldChar w:fldCharType="separate"/>
            </w:r>
            <w:r w:rsidR="00AC0FFB">
              <w:rPr>
                <w:b/>
                <w:bCs/>
                <w:noProof/>
                <w:webHidden/>
                <w:sz w:val="24"/>
                <w:szCs w:val="28"/>
              </w:rPr>
              <w:t>4</w:t>
            </w:r>
            <w:r w:rsidR="00A4072E" w:rsidRPr="00A4072E">
              <w:rPr>
                <w:b/>
                <w:bCs/>
                <w:noProof/>
                <w:webHidden/>
                <w:sz w:val="24"/>
                <w:szCs w:val="28"/>
              </w:rPr>
              <w:fldChar w:fldCharType="end"/>
            </w:r>
          </w:hyperlink>
        </w:p>
        <w:p w14:paraId="71E57583" w14:textId="57D4D5CE" w:rsidR="00A4072E" w:rsidRPr="00A4072E" w:rsidRDefault="00335526">
          <w:pPr>
            <w:pStyle w:val="TOC1"/>
            <w:tabs>
              <w:tab w:val="left" w:pos="440"/>
              <w:tab w:val="right" w:leader="dot" w:pos="9962"/>
            </w:tabs>
            <w:rPr>
              <w:rFonts w:asciiTheme="minorHAnsi" w:eastAsiaTheme="minorEastAsia" w:hAnsiTheme="minorHAnsi"/>
              <w:b/>
              <w:bCs/>
              <w:noProof/>
              <w:sz w:val="24"/>
              <w:lang w:eastAsia="en-AU"/>
            </w:rPr>
          </w:pPr>
          <w:hyperlink w:anchor="_Toc152666357" w:history="1">
            <w:r w:rsidR="00A4072E" w:rsidRPr="00A4072E">
              <w:rPr>
                <w:rStyle w:val="Hyperlink"/>
                <w:b/>
                <w:bCs/>
                <w:noProof/>
                <w:sz w:val="24"/>
                <w:szCs w:val="28"/>
              </w:rPr>
              <w:t>4.</w:t>
            </w:r>
            <w:r w:rsidR="00A4072E" w:rsidRPr="00A4072E">
              <w:rPr>
                <w:rFonts w:asciiTheme="minorHAnsi" w:eastAsiaTheme="minorEastAsia" w:hAnsiTheme="minorHAnsi"/>
                <w:b/>
                <w:bCs/>
                <w:noProof/>
                <w:sz w:val="24"/>
                <w:lang w:eastAsia="en-AU"/>
              </w:rPr>
              <w:tab/>
            </w:r>
            <w:r w:rsidR="00A4072E" w:rsidRPr="00A4072E">
              <w:rPr>
                <w:rStyle w:val="Hyperlink"/>
                <w:b/>
                <w:bCs/>
                <w:noProof/>
                <w:sz w:val="24"/>
                <w:szCs w:val="28"/>
              </w:rPr>
              <w:t>Principles</w:t>
            </w:r>
            <w:r w:rsidR="00A4072E" w:rsidRPr="00A4072E">
              <w:rPr>
                <w:b/>
                <w:bCs/>
                <w:noProof/>
                <w:webHidden/>
                <w:sz w:val="24"/>
                <w:szCs w:val="28"/>
              </w:rPr>
              <w:tab/>
            </w:r>
            <w:r w:rsidR="00A4072E" w:rsidRPr="00A4072E">
              <w:rPr>
                <w:b/>
                <w:bCs/>
                <w:noProof/>
                <w:webHidden/>
                <w:sz w:val="24"/>
                <w:szCs w:val="28"/>
              </w:rPr>
              <w:fldChar w:fldCharType="begin"/>
            </w:r>
            <w:r w:rsidR="00A4072E" w:rsidRPr="00A4072E">
              <w:rPr>
                <w:b/>
                <w:bCs/>
                <w:noProof/>
                <w:webHidden/>
                <w:sz w:val="24"/>
                <w:szCs w:val="28"/>
              </w:rPr>
              <w:instrText xml:space="preserve"> PAGEREF _Toc152666357 \h </w:instrText>
            </w:r>
            <w:r w:rsidR="00A4072E" w:rsidRPr="00A4072E">
              <w:rPr>
                <w:b/>
                <w:bCs/>
                <w:noProof/>
                <w:webHidden/>
                <w:sz w:val="24"/>
                <w:szCs w:val="28"/>
              </w:rPr>
            </w:r>
            <w:r w:rsidR="00A4072E" w:rsidRPr="00A4072E">
              <w:rPr>
                <w:b/>
                <w:bCs/>
                <w:noProof/>
                <w:webHidden/>
                <w:sz w:val="24"/>
                <w:szCs w:val="28"/>
              </w:rPr>
              <w:fldChar w:fldCharType="separate"/>
            </w:r>
            <w:r w:rsidR="00AC0FFB">
              <w:rPr>
                <w:b/>
                <w:bCs/>
                <w:noProof/>
                <w:webHidden/>
                <w:sz w:val="24"/>
                <w:szCs w:val="28"/>
              </w:rPr>
              <w:t>4</w:t>
            </w:r>
            <w:r w:rsidR="00A4072E" w:rsidRPr="00A4072E">
              <w:rPr>
                <w:b/>
                <w:bCs/>
                <w:noProof/>
                <w:webHidden/>
                <w:sz w:val="24"/>
                <w:szCs w:val="28"/>
              </w:rPr>
              <w:fldChar w:fldCharType="end"/>
            </w:r>
          </w:hyperlink>
        </w:p>
        <w:p w14:paraId="0ADA2857" w14:textId="789B2031" w:rsidR="00A4072E" w:rsidRPr="00A4072E" w:rsidRDefault="00335526">
          <w:pPr>
            <w:pStyle w:val="TOC1"/>
            <w:tabs>
              <w:tab w:val="left" w:pos="440"/>
              <w:tab w:val="right" w:leader="dot" w:pos="9962"/>
            </w:tabs>
            <w:rPr>
              <w:rFonts w:asciiTheme="minorHAnsi" w:eastAsiaTheme="minorEastAsia" w:hAnsiTheme="minorHAnsi"/>
              <w:b/>
              <w:bCs/>
              <w:noProof/>
              <w:sz w:val="24"/>
              <w:lang w:eastAsia="en-AU"/>
            </w:rPr>
          </w:pPr>
          <w:hyperlink w:anchor="_Toc152666358" w:history="1">
            <w:r w:rsidR="00A4072E" w:rsidRPr="00A4072E">
              <w:rPr>
                <w:rStyle w:val="Hyperlink"/>
                <w:b/>
                <w:bCs/>
                <w:noProof/>
                <w:sz w:val="24"/>
                <w:szCs w:val="28"/>
              </w:rPr>
              <w:t>5.</w:t>
            </w:r>
            <w:r w:rsidR="00A4072E" w:rsidRPr="00A4072E">
              <w:rPr>
                <w:rFonts w:asciiTheme="minorHAnsi" w:eastAsiaTheme="minorEastAsia" w:hAnsiTheme="minorHAnsi"/>
                <w:b/>
                <w:bCs/>
                <w:noProof/>
                <w:sz w:val="24"/>
                <w:lang w:eastAsia="en-AU"/>
              </w:rPr>
              <w:tab/>
            </w:r>
            <w:r w:rsidR="00A4072E" w:rsidRPr="00A4072E">
              <w:rPr>
                <w:rStyle w:val="Hyperlink"/>
                <w:b/>
                <w:bCs/>
                <w:noProof/>
                <w:sz w:val="24"/>
                <w:szCs w:val="28"/>
              </w:rPr>
              <w:t>Value for money considerations</w:t>
            </w:r>
            <w:r w:rsidR="00A4072E" w:rsidRPr="00A4072E">
              <w:rPr>
                <w:b/>
                <w:bCs/>
                <w:noProof/>
                <w:webHidden/>
                <w:sz w:val="24"/>
                <w:szCs w:val="28"/>
              </w:rPr>
              <w:tab/>
            </w:r>
            <w:r w:rsidR="00A4072E" w:rsidRPr="00A4072E">
              <w:rPr>
                <w:b/>
                <w:bCs/>
                <w:noProof/>
                <w:webHidden/>
                <w:sz w:val="24"/>
                <w:szCs w:val="28"/>
              </w:rPr>
              <w:fldChar w:fldCharType="begin"/>
            </w:r>
            <w:r w:rsidR="00A4072E" w:rsidRPr="00A4072E">
              <w:rPr>
                <w:b/>
                <w:bCs/>
                <w:noProof/>
                <w:webHidden/>
                <w:sz w:val="24"/>
                <w:szCs w:val="28"/>
              </w:rPr>
              <w:instrText xml:space="preserve"> PAGEREF _Toc152666358 \h </w:instrText>
            </w:r>
            <w:r w:rsidR="00A4072E" w:rsidRPr="00A4072E">
              <w:rPr>
                <w:b/>
                <w:bCs/>
                <w:noProof/>
                <w:webHidden/>
                <w:sz w:val="24"/>
                <w:szCs w:val="28"/>
              </w:rPr>
            </w:r>
            <w:r w:rsidR="00A4072E" w:rsidRPr="00A4072E">
              <w:rPr>
                <w:b/>
                <w:bCs/>
                <w:noProof/>
                <w:webHidden/>
                <w:sz w:val="24"/>
                <w:szCs w:val="28"/>
              </w:rPr>
              <w:fldChar w:fldCharType="separate"/>
            </w:r>
            <w:r w:rsidR="00AC0FFB">
              <w:rPr>
                <w:b/>
                <w:bCs/>
                <w:noProof/>
                <w:webHidden/>
                <w:sz w:val="24"/>
                <w:szCs w:val="28"/>
              </w:rPr>
              <w:t>5</w:t>
            </w:r>
            <w:r w:rsidR="00A4072E" w:rsidRPr="00A4072E">
              <w:rPr>
                <w:b/>
                <w:bCs/>
                <w:noProof/>
                <w:webHidden/>
                <w:sz w:val="24"/>
                <w:szCs w:val="28"/>
              </w:rPr>
              <w:fldChar w:fldCharType="end"/>
            </w:r>
          </w:hyperlink>
        </w:p>
        <w:p w14:paraId="6E4A4DEC" w14:textId="0C243030" w:rsidR="00A4072E" w:rsidRPr="00A4072E" w:rsidRDefault="00335526">
          <w:pPr>
            <w:pStyle w:val="TOC1"/>
            <w:tabs>
              <w:tab w:val="left" w:pos="440"/>
              <w:tab w:val="right" w:leader="dot" w:pos="9962"/>
            </w:tabs>
            <w:rPr>
              <w:rFonts w:asciiTheme="minorHAnsi" w:eastAsiaTheme="minorEastAsia" w:hAnsiTheme="minorHAnsi"/>
              <w:b/>
              <w:bCs/>
              <w:noProof/>
              <w:sz w:val="24"/>
              <w:lang w:eastAsia="en-AU"/>
            </w:rPr>
          </w:pPr>
          <w:hyperlink w:anchor="_Toc152666359" w:history="1">
            <w:r w:rsidR="00A4072E" w:rsidRPr="00A4072E">
              <w:rPr>
                <w:rStyle w:val="Hyperlink"/>
                <w:b/>
                <w:bCs/>
                <w:noProof/>
                <w:sz w:val="24"/>
                <w:szCs w:val="28"/>
              </w:rPr>
              <w:t>6.</w:t>
            </w:r>
            <w:r w:rsidR="00A4072E" w:rsidRPr="00A4072E">
              <w:rPr>
                <w:rFonts w:asciiTheme="minorHAnsi" w:eastAsiaTheme="minorEastAsia" w:hAnsiTheme="minorHAnsi"/>
                <w:b/>
                <w:bCs/>
                <w:noProof/>
                <w:sz w:val="24"/>
                <w:lang w:eastAsia="en-AU"/>
              </w:rPr>
              <w:tab/>
            </w:r>
            <w:r w:rsidR="00A4072E" w:rsidRPr="00A4072E">
              <w:rPr>
                <w:rStyle w:val="Hyperlink"/>
                <w:b/>
                <w:bCs/>
                <w:noProof/>
                <w:sz w:val="24"/>
                <w:szCs w:val="28"/>
              </w:rPr>
              <w:t>Meeting the needs of Aboriginal and/or Torres Strait Islander children, young people and/or their families</w:t>
            </w:r>
            <w:r w:rsidR="00A4072E" w:rsidRPr="00A4072E">
              <w:rPr>
                <w:b/>
                <w:bCs/>
                <w:noProof/>
                <w:webHidden/>
                <w:sz w:val="24"/>
                <w:szCs w:val="28"/>
              </w:rPr>
              <w:tab/>
            </w:r>
            <w:r w:rsidR="00A4072E" w:rsidRPr="00A4072E">
              <w:rPr>
                <w:b/>
                <w:bCs/>
                <w:noProof/>
                <w:webHidden/>
                <w:sz w:val="24"/>
                <w:szCs w:val="28"/>
              </w:rPr>
              <w:fldChar w:fldCharType="begin"/>
            </w:r>
            <w:r w:rsidR="00A4072E" w:rsidRPr="00A4072E">
              <w:rPr>
                <w:b/>
                <w:bCs/>
                <w:noProof/>
                <w:webHidden/>
                <w:sz w:val="24"/>
                <w:szCs w:val="28"/>
              </w:rPr>
              <w:instrText xml:space="preserve"> PAGEREF _Toc152666359 \h </w:instrText>
            </w:r>
            <w:r w:rsidR="00A4072E" w:rsidRPr="00A4072E">
              <w:rPr>
                <w:b/>
                <w:bCs/>
                <w:noProof/>
                <w:webHidden/>
                <w:sz w:val="24"/>
                <w:szCs w:val="28"/>
              </w:rPr>
            </w:r>
            <w:r w:rsidR="00A4072E" w:rsidRPr="00A4072E">
              <w:rPr>
                <w:b/>
                <w:bCs/>
                <w:noProof/>
                <w:webHidden/>
                <w:sz w:val="24"/>
                <w:szCs w:val="28"/>
              </w:rPr>
              <w:fldChar w:fldCharType="separate"/>
            </w:r>
            <w:r w:rsidR="00AC0FFB">
              <w:rPr>
                <w:b/>
                <w:bCs/>
                <w:noProof/>
                <w:webHidden/>
                <w:sz w:val="24"/>
                <w:szCs w:val="28"/>
              </w:rPr>
              <w:t>5</w:t>
            </w:r>
            <w:r w:rsidR="00A4072E" w:rsidRPr="00A4072E">
              <w:rPr>
                <w:b/>
                <w:bCs/>
                <w:noProof/>
                <w:webHidden/>
                <w:sz w:val="24"/>
                <w:szCs w:val="28"/>
              </w:rPr>
              <w:fldChar w:fldCharType="end"/>
            </w:r>
          </w:hyperlink>
        </w:p>
        <w:p w14:paraId="339C390B" w14:textId="74077318" w:rsidR="00A4072E" w:rsidRPr="00A4072E" w:rsidRDefault="00335526">
          <w:pPr>
            <w:pStyle w:val="TOC1"/>
            <w:tabs>
              <w:tab w:val="left" w:pos="440"/>
              <w:tab w:val="right" w:leader="dot" w:pos="9962"/>
            </w:tabs>
            <w:rPr>
              <w:rFonts w:asciiTheme="minorHAnsi" w:eastAsiaTheme="minorEastAsia" w:hAnsiTheme="minorHAnsi"/>
              <w:b/>
              <w:bCs/>
              <w:noProof/>
              <w:sz w:val="24"/>
              <w:lang w:eastAsia="en-AU"/>
            </w:rPr>
          </w:pPr>
          <w:hyperlink w:anchor="_Toc152666360" w:history="1">
            <w:r w:rsidR="00A4072E" w:rsidRPr="00A4072E">
              <w:rPr>
                <w:rStyle w:val="Hyperlink"/>
                <w:b/>
                <w:bCs/>
                <w:noProof/>
                <w:sz w:val="24"/>
                <w:szCs w:val="28"/>
              </w:rPr>
              <w:t>7.</w:t>
            </w:r>
            <w:r w:rsidR="00A4072E" w:rsidRPr="00A4072E">
              <w:rPr>
                <w:rFonts w:asciiTheme="minorHAnsi" w:eastAsiaTheme="minorEastAsia" w:hAnsiTheme="minorHAnsi"/>
                <w:b/>
                <w:bCs/>
                <w:noProof/>
                <w:sz w:val="24"/>
                <w:lang w:eastAsia="en-AU"/>
              </w:rPr>
              <w:tab/>
            </w:r>
            <w:r w:rsidR="00A4072E" w:rsidRPr="00A4072E">
              <w:rPr>
                <w:rStyle w:val="Hyperlink"/>
                <w:b/>
                <w:bCs/>
                <w:noProof/>
                <w:sz w:val="24"/>
                <w:szCs w:val="28"/>
              </w:rPr>
              <w:t>Limits on brokerage expenditure</w:t>
            </w:r>
            <w:r w:rsidR="00A4072E" w:rsidRPr="00A4072E">
              <w:rPr>
                <w:b/>
                <w:bCs/>
                <w:noProof/>
                <w:webHidden/>
                <w:sz w:val="24"/>
                <w:szCs w:val="28"/>
              </w:rPr>
              <w:tab/>
            </w:r>
            <w:r w:rsidR="00A4072E" w:rsidRPr="00A4072E">
              <w:rPr>
                <w:b/>
                <w:bCs/>
                <w:noProof/>
                <w:webHidden/>
                <w:sz w:val="24"/>
                <w:szCs w:val="28"/>
              </w:rPr>
              <w:fldChar w:fldCharType="begin"/>
            </w:r>
            <w:r w:rsidR="00A4072E" w:rsidRPr="00A4072E">
              <w:rPr>
                <w:b/>
                <w:bCs/>
                <w:noProof/>
                <w:webHidden/>
                <w:sz w:val="24"/>
                <w:szCs w:val="28"/>
              </w:rPr>
              <w:instrText xml:space="preserve"> PAGEREF _Toc152666360 \h </w:instrText>
            </w:r>
            <w:r w:rsidR="00A4072E" w:rsidRPr="00A4072E">
              <w:rPr>
                <w:b/>
                <w:bCs/>
                <w:noProof/>
                <w:webHidden/>
                <w:sz w:val="24"/>
                <w:szCs w:val="28"/>
              </w:rPr>
            </w:r>
            <w:r w:rsidR="00A4072E" w:rsidRPr="00A4072E">
              <w:rPr>
                <w:b/>
                <w:bCs/>
                <w:noProof/>
                <w:webHidden/>
                <w:sz w:val="24"/>
                <w:szCs w:val="28"/>
              </w:rPr>
              <w:fldChar w:fldCharType="separate"/>
            </w:r>
            <w:r w:rsidR="00AC0FFB">
              <w:rPr>
                <w:b/>
                <w:bCs/>
                <w:noProof/>
                <w:webHidden/>
                <w:sz w:val="24"/>
                <w:szCs w:val="28"/>
              </w:rPr>
              <w:t>6</w:t>
            </w:r>
            <w:r w:rsidR="00A4072E" w:rsidRPr="00A4072E">
              <w:rPr>
                <w:b/>
                <w:bCs/>
                <w:noProof/>
                <w:webHidden/>
                <w:sz w:val="24"/>
                <w:szCs w:val="28"/>
              </w:rPr>
              <w:fldChar w:fldCharType="end"/>
            </w:r>
          </w:hyperlink>
        </w:p>
        <w:p w14:paraId="0B451A77" w14:textId="4982A0C8" w:rsidR="00A4072E" w:rsidRPr="00A4072E" w:rsidRDefault="00335526">
          <w:pPr>
            <w:pStyle w:val="TOC1"/>
            <w:tabs>
              <w:tab w:val="left" w:pos="440"/>
              <w:tab w:val="right" w:leader="dot" w:pos="9962"/>
            </w:tabs>
            <w:rPr>
              <w:rFonts w:asciiTheme="minorHAnsi" w:eastAsiaTheme="minorEastAsia" w:hAnsiTheme="minorHAnsi"/>
              <w:b/>
              <w:bCs/>
              <w:noProof/>
              <w:szCs w:val="22"/>
              <w:lang w:eastAsia="en-AU"/>
            </w:rPr>
          </w:pPr>
          <w:hyperlink w:anchor="_Toc152666361" w:history="1">
            <w:r w:rsidR="00A4072E" w:rsidRPr="00A4072E">
              <w:rPr>
                <w:rStyle w:val="Hyperlink"/>
                <w:b/>
                <w:bCs/>
                <w:noProof/>
                <w:sz w:val="24"/>
                <w:szCs w:val="28"/>
              </w:rPr>
              <w:t>8.</w:t>
            </w:r>
            <w:r w:rsidR="00A4072E" w:rsidRPr="00A4072E">
              <w:rPr>
                <w:rFonts w:asciiTheme="minorHAnsi" w:eastAsiaTheme="minorEastAsia" w:hAnsiTheme="minorHAnsi"/>
                <w:b/>
                <w:bCs/>
                <w:noProof/>
                <w:sz w:val="24"/>
                <w:lang w:eastAsia="en-AU"/>
              </w:rPr>
              <w:tab/>
            </w:r>
            <w:r w:rsidR="00A4072E" w:rsidRPr="00A4072E">
              <w:rPr>
                <w:rStyle w:val="Hyperlink"/>
                <w:b/>
                <w:bCs/>
                <w:noProof/>
                <w:sz w:val="24"/>
                <w:szCs w:val="28"/>
              </w:rPr>
              <w:t>Accountability</w:t>
            </w:r>
            <w:r w:rsidR="00A4072E" w:rsidRPr="00A4072E">
              <w:rPr>
                <w:b/>
                <w:bCs/>
                <w:noProof/>
                <w:webHidden/>
                <w:sz w:val="24"/>
                <w:szCs w:val="28"/>
              </w:rPr>
              <w:tab/>
            </w:r>
            <w:r w:rsidR="00A4072E" w:rsidRPr="00A4072E">
              <w:rPr>
                <w:b/>
                <w:bCs/>
                <w:noProof/>
                <w:webHidden/>
                <w:sz w:val="24"/>
                <w:szCs w:val="28"/>
              </w:rPr>
              <w:fldChar w:fldCharType="begin"/>
            </w:r>
            <w:r w:rsidR="00A4072E" w:rsidRPr="00A4072E">
              <w:rPr>
                <w:b/>
                <w:bCs/>
                <w:noProof/>
                <w:webHidden/>
                <w:sz w:val="24"/>
                <w:szCs w:val="28"/>
              </w:rPr>
              <w:instrText xml:space="preserve"> PAGEREF _Toc152666361 \h </w:instrText>
            </w:r>
            <w:r w:rsidR="00A4072E" w:rsidRPr="00A4072E">
              <w:rPr>
                <w:b/>
                <w:bCs/>
                <w:noProof/>
                <w:webHidden/>
                <w:sz w:val="24"/>
                <w:szCs w:val="28"/>
              </w:rPr>
            </w:r>
            <w:r w:rsidR="00A4072E" w:rsidRPr="00A4072E">
              <w:rPr>
                <w:b/>
                <w:bCs/>
                <w:noProof/>
                <w:webHidden/>
                <w:sz w:val="24"/>
                <w:szCs w:val="28"/>
              </w:rPr>
              <w:fldChar w:fldCharType="separate"/>
            </w:r>
            <w:r w:rsidR="00AC0FFB">
              <w:rPr>
                <w:b/>
                <w:bCs/>
                <w:noProof/>
                <w:webHidden/>
                <w:sz w:val="24"/>
                <w:szCs w:val="28"/>
              </w:rPr>
              <w:t>6</w:t>
            </w:r>
            <w:r w:rsidR="00A4072E" w:rsidRPr="00A4072E">
              <w:rPr>
                <w:b/>
                <w:bCs/>
                <w:noProof/>
                <w:webHidden/>
                <w:sz w:val="24"/>
                <w:szCs w:val="28"/>
              </w:rPr>
              <w:fldChar w:fldCharType="end"/>
            </w:r>
          </w:hyperlink>
        </w:p>
        <w:p w14:paraId="17EBC15F" w14:textId="7514F4EF" w:rsidR="00413C6C" w:rsidRPr="00A4072E" w:rsidRDefault="00413C6C">
          <w:pPr>
            <w:rPr>
              <w:b/>
              <w:bCs/>
            </w:rPr>
          </w:pPr>
          <w:r w:rsidRPr="00A4072E">
            <w:rPr>
              <w:b/>
              <w:bCs/>
              <w:noProof/>
            </w:rPr>
            <w:fldChar w:fldCharType="end"/>
          </w:r>
        </w:p>
      </w:sdtContent>
    </w:sdt>
    <w:p w14:paraId="6221F9F3" w14:textId="77777777" w:rsidR="00962600" w:rsidRDefault="00962600" w:rsidP="00962600">
      <w:pPr>
        <w:pStyle w:val="DAheading2"/>
      </w:pPr>
    </w:p>
    <w:p w14:paraId="0E7A2A0B" w14:textId="77777777" w:rsidR="00E93B96" w:rsidRDefault="00E93B96" w:rsidP="005E52E9">
      <w:pPr>
        <w:pStyle w:val="DAheading2"/>
      </w:pPr>
      <w:r>
        <w:br w:type="page"/>
      </w:r>
    </w:p>
    <w:p w14:paraId="32F689BA" w14:textId="46013B6E" w:rsidR="003C667F" w:rsidRPr="00A4072E" w:rsidRDefault="00962600" w:rsidP="00A4072E">
      <w:pPr>
        <w:pStyle w:val="DAheading2"/>
        <w:numPr>
          <w:ilvl w:val="0"/>
          <w:numId w:val="24"/>
        </w:numPr>
        <w:outlineLvl w:val="0"/>
      </w:pPr>
      <w:bookmarkStart w:id="0" w:name="_Toc152666354"/>
      <w:r w:rsidRPr="00A4072E">
        <w:lastRenderedPageBreak/>
        <w:t>Introduction</w:t>
      </w:r>
      <w:bookmarkEnd w:id="0"/>
    </w:p>
    <w:p w14:paraId="565C303B" w14:textId="77777777" w:rsidR="00962600" w:rsidRPr="00962600" w:rsidRDefault="00962600" w:rsidP="00962600">
      <w:pPr>
        <w:pStyle w:val="BodyText"/>
        <w:ind w:left="0"/>
        <w:rPr>
          <w:rFonts w:cs="Arial"/>
          <w:sz w:val="24"/>
          <w:szCs w:val="24"/>
        </w:rPr>
      </w:pPr>
      <w:r w:rsidRPr="00962600">
        <w:rPr>
          <w:rFonts w:cs="Arial"/>
          <w:sz w:val="24"/>
          <w:szCs w:val="24"/>
        </w:rPr>
        <w:t xml:space="preserve">In line with the strategic intent of the Department of Child Safety, </w:t>
      </w:r>
      <w:proofErr w:type="gramStart"/>
      <w:r w:rsidRPr="00962600">
        <w:rPr>
          <w:rFonts w:cs="Arial"/>
          <w:sz w:val="24"/>
          <w:szCs w:val="24"/>
        </w:rPr>
        <w:t>Seniors</w:t>
      </w:r>
      <w:proofErr w:type="gramEnd"/>
      <w:r w:rsidRPr="00962600">
        <w:rPr>
          <w:rFonts w:cs="Arial"/>
          <w:sz w:val="24"/>
          <w:szCs w:val="24"/>
        </w:rPr>
        <w:t xml:space="preserve"> and Disability Services (the department), delegated authority has been designated as a Funding Area to support and guide investment in Aboriginal and/or Torres Strait Islander Community Controlled Organisations.</w:t>
      </w:r>
    </w:p>
    <w:p w14:paraId="29B337F8" w14:textId="77777777" w:rsidR="00962600" w:rsidRPr="00962600" w:rsidRDefault="00962600" w:rsidP="00962600">
      <w:pPr>
        <w:pStyle w:val="BodyText"/>
        <w:ind w:left="0"/>
        <w:rPr>
          <w:rFonts w:cs="Arial"/>
          <w:sz w:val="24"/>
          <w:szCs w:val="24"/>
        </w:rPr>
      </w:pPr>
    </w:p>
    <w:p w14:paraId="5B76E8E7" w14:textId="77777777" w:rsidR="00962600" w:rsidRPr="00962600" w:rsidRDefault="00962600" w:rsidP="00962600">
      <w:pPr>
        <w:rPr>
          <w:rFonts w:cs="Arial"/>
          <w:sz w:val="24"/>
        </w:rPr>
      </w:pPr>
      <w:r w:rsidRPr="00962600">
        <w:rPr>
          <w:rFonts w:cs="Arial"/>
          <w:sz w:val="24"/>
        </w:rPr>
        <w:t xml:space="preserve">These brokerage guidelines (the guidelines) have been developed to promote self-determination and enable flexibility and responsiveness in service delivery aligned to delegated functions and powers of the </w:t>
      </w:r>
      <w:hyperlink r:id="rId13" w:history="1">
        <w:r w:rsidRPr="00962600">
          <w:rPr>
            <w:rFonts w:cs="Arial"/>
            <w:i/>
            <w:color w:val="0563C1" w:themeColor="hyperlink"/>
            <w:sz w:val="24"/>
            <w:u w:val="single"/>
          </w:rPr>
          <w:t>Child Protection Act 1999</w:t>
        </w:r>
      </w:hyperlink>
      <w:r w:rsidRPr="00962600">
        <w:rPr>
          <w:rFonts w:cs="Arial"/>
          <w:sz w:val="24"/>
        </w:rPr>
        <w:t xml:space="preserve"> (the CP Act) under section Chapter 4, Part 2A (section 148BB), known as delegated authority.  </w:t>
      </w:r>
    </w:p>
    <w:p w14:paraId="6B9472E1" w14:textId="77777777" w:rsidR="003C667F" w:rsidRDefault="003C667F" w:rsidP="00E93B96">
      <w:pPr>
        <w:pStyle w:val="DAHeading3"/>
        <w:rPr>
          <w:rFonts w:eastAsia="Times New Roman" w:cs="Arial"/>
          <w:color w:val="212529"/>
          <w:szCs w:val="22"/>
          <w:lang w:val="en" w:eastAsia="en-AU"/>
        </w:rPr>
      </w:pPr>
    </w:p>
    <w:p w14:paraId="39080971" w14:textId="4C8C2CDB" w:rsidR="003C667F" w:rsidRPr="00A4072E" w:rsidRDefault="00962600" w:rsidP="00A4072E">
      <w:pPr>
        <w:pStyle w:val="DAheading2"/>
        <w:numPr>
          <w:ilvl w:val="0"/>
          <w:numId w:val="24"/>
        </w:numPr>
        <w:outlineLvl w:val="0"/>
      </w:pPr>
      <w:bookmarkStart w:id="1" w:name="_Toc152666355"/>
      <w:r w:rsidRPr="00A4072E">
        <w:t>Purpose of brokerage funding</w:t>
      </w:r>
      <w:bookmarkEnd w:id="1"/>
    </w:p>
    <w:p w14:paraId="372BE0B5" w14:textId="77777777" w:rsidR="00962600" w:rsidRPr="00562192" w:rsidRDefault="00962600" w:rsidP="00962600">
      <w:pPr>
        <w:rPr>
          <w:rFonts w:cs="Arial"/>
          <w:sz w:val="24"/>
        </w:rPr>
      </w:pPr>
      <w:r w:rsidRPr="00562192">
        <w:rPr>
          <w:rFonts w:cs="Arial"/>
          <w:sz w:val="24"/>
        </w:rPr>
        <w:t>The purpose of brokerage funding is to facilitate culturally centred responses for children, young people and their families who are supported through delegated authority arrangements. Brokerage contributes to the achievement of goals and aspirations for Aboriginal and/or Torres Strait Islander children, young people and their families as aligned to the delegations made to the CEO (prescribed delegate) of the Aboriginal and/or Torres Strait Islander Community Controlled Organisation (funded service).</w:t>
      </w:r>
    </w:p>
    <w:p w14:paraId="4A9D63F8" w14:textId="77777777" w:rsidR="005C2DC6" w:rsidRDefault="005C2DC6" w:rsidP="00E93B96">
      <w:pPr>
        <w:pStyle w:val="DAHeading3"/>
      </w:pPr>
    </w:p>
    <w:p w14:paraId="1144B82B" w14:textId="0648B0A2" w:rsidR="00846CF9" w:rsidRPr="00A4072E" w:rsidRDefault="00962600" w:rsidP="000B34B8">
      <w:pPr>
        <w:pStyle w:val="DAheading2"/>
        <w:numPr>
          <w:ilvl w:val="0"/>
          <w:numId w:val="24"/>
        </w:numPr>
        <w:outlineLvl w:val="0"/>
      </w:pPr>
      <w:bookmarkStart w:id="2" w:name="_Toc152666356"/>
      <w:r w:rsidRPr="00A4072E">
        <w:t>Scope</w:t>
      </w:r>
      <w:bookmarkEnd w:id="2"/>
    </w:p>
    <w:p w14:paraId="584C5B77" w14:textId="77777777" w:rsidR="00562192" w:rsidRPr="00562192" w:rsidRDefault="00562192" w:rsidP="00562192">
      <w:pPr>
        <w:rPr>
          <w:rFonts w:cs="Arial"/>
          <w:sz w:val="24"/>
        </w:rPr>
      </w:pPr>
      <w:r w:rsidRPr="00562192">
        <w:rPr>
          <w:rFonts w:cs="Arial"/>
          <w:sz w:val="24"/>
        </w:rPr>
        <w:t xml:space="preserve">These guidelines relate to brokerage funding provided to Aboriginal and/or Torres Strait Islander Community Controlled Organisations funded to deliver delegated authority responses under the </w:t>
      </w:r>
      <w:r w:rsidRPr="00562192">
        <w:rPr>
          <w:rFonts w:cs="Arial"/>
          <w:i/>
          <w:iCs/>
          <w:sz w:val="24"/>
        </w:rPr>
        <w:t xml:space="preserve">Making Decisions in Our Way (Delegated Authority Support Services) Investment </w:t>
      </w:r>
      <w:proofErr w:type="gramStart"/>
      <w:r w:rsidRPr="00562192">
        <w:rPr>
          <w:rFonts w:cs="Arial"/>
          <w:i/>
          <w:iCs/>
          <w:sz w:val="24"/>
        </w:rPr>
        <w:t>Specification</w:t>
      </w:r>
      <w:r w:rsidRPr="00562192">
        <w:rPr>
          <w:rFonts w:cs="Arial"/>
          <w:sz w:val="24"/>
        </w:rPr>
        <w:t>, and</w:t>
      </w:r>
      <w:proofErr w:type="gramEnd"/>
      <w:r w:rsidRPr="00562192">
        <w:rPr>
          <w:rFonts w:cs="Arial"/>
          <w:sz w:val="24"/>
        </w:rPr>
        <w:t xml:space="preserve"> should be read in conjunction with that Investment Specification.</w:t>
      </w:r>
    </w:p>
    <w:p w14:paraId="23544B11" w14:textId="77777777" w:rsidR="00962600" w:rsidRPr="00962600" w:rsidRDefault="00962600" w:rsidP="006E396E">
      <w:pPr>
        <w:pStyle w:val="DAHeading3"/>
        <w:rPr>
          <w:b w:val="0"/>
          <w:bCs w:val="0"/>
        </w:rPr>
      </w:pPr>
    </w:p>
    <w:p w14:paraId="00003FAD" w14:textId="3E881CA0" w:rsidR="00846CF9" w:rsidRPr="00A4072E" w:rsidRDefault="00962600" w:rsidP="00A4072E">
      <w:pPr>
        <w:pStyle w:val="DAheading2"/>
        <w:numPr>
          <w:ilvl w:val="0"/>
          <w:numId w:val="24"/>
        </w:numPr>
        <w:outlineLvl w:val="0"/>
      </w:pPr>
      <w:bookmarkStart w:id="3" w:name="_Toc152666357"/>
      <w:r w:rsidRPr="00A4072E">
        <w:t>Principles</w:t>
      </w:r>
      <w:bookmarkEnd w:id="3"/>
    </w:p>
    <w:p w14:paraId="23269639" w14:textId="77777777" w:rsidR="00562192" w:rsidRPr="00562192" w:rsidRDefault="00562192" w:rsidP="00562192">
      <w:pPr>
        <w:rPr>
          <w:rFonts w:cs="Arial"/>
          <w:sz w:val="24"/>
        </w:rPr>
      </w:pPr>
      <w:r w:rsidRPr="00562192">
        <w:rPr>
          <w:rFonts w:cs="Arial"/>
          <w:sz w:val="24"/>
        </w:rPr>
        <w:t>The use of brokerage funding to support delegated authority arrangements will be guided by the following principles:</w:t>
      </w:r>
    </w:p>
    <w:p w14:paraId="1A5DBB36" w14:textId="77777777" w:rsidR="00562192" w:rsidRPr="00562192" w:rsidRDefault="00562192" w:rsidP="00562192">
      <w:pPr>
        <w:pStyle w:val="ListParagraph"/>
        <w:numPr>
          <w:ilvl w:val="0"/>
          <w:numId w:val="18"/>
        </w:numPr>
        <w:suppressAutoHyphens w:val="0"/>
        <w:spacing w:after="160" w:line="259" w:lineRule="auto"/>
        <w:rPr>
          <w:rFonts w:cs="Arial"/>
          <w:sz w:val="24"/>
        </w:rPr>
      </w:pPr>
      <w:r w:rsidRPr="00562192">
        <w:rPr>
          <w:rFonts w:cs="Arial"/>
          <w:b/>
          <w:bCs/>
          <w:sz w:val="24"/>
        </w:rPr>
        <w:t>Culturally appropriate</w:t>
      </w:r>
      <w:r w:rsidRPr="00562192">
        <w:rPr>
          <w:rFonts w:cs="Arial"/>
          <w:sz w:val="24"/>
        </w:rPr>
        <w:t xml:space="preserve"> </w:t>
      </w:r>
      <w:r w:rsidRPr="00562192">
        <w:rPr>
          <w:rFonts w:cs="Arial"/>
          <w:b/>
          <w:bCs/>
          <w:sz w:val="24"/>
        </w:rPr>
        <w:t>and self-determined</w:t>
      </w:r>
      <w:r w:rsidRPr="00562192">
        <w:rPr>
          <w:rFonts w:cs="Arial"/>
          <w:sz w:val="24"/>
        </w:rPr>
        <w:t xml:space="preserve"> – brokerage funding must respond to and support the cultural needs of Aboriginal and/or Torres Strait Islander children or young people and/or their families (service user/s), as identified by the funded service in consultation with the Aboriginal and/or Torres Strait Islander child or young person and/or their family, and as outlined in cultural connection planning;</w:t>
      </w:r>
    </w:p>
    <w:p w14:paraId="18E3CA6E" w14:textId="77777777" w:rsidR="00562192" w:rsidRPr="00562192" w:rsidRDefault="00562192" w:rsidP="00562192">
      <w:pPr>
        <w:pStyle w:val="ListParagraph"/>
        <w:numPr>
          <w:ilvl w:val="0"/>
          <w:numId w:val="18"/>
        </w:numPr>
        <w:suppressAutoHyphens w:val="0"/>
        <w:spacing w:after="160" w:line="259" w:lineRule="auto"/>
        <w:rPr>
          <w:rFonts w:cs="Arial"/>
          <w:sz w:val="24"/>
        </w:rPr>
      </w:pPr>
      <w:r w:rsidRPr="00562192">
        <w:rPr>
          <w:rFonts w:cs="Arial"/>
          <w:b/>
          <w:bCs/>
          <w:sz w:val="24"/>
        </w:rPr>
        <w:t>Flexible</w:t>
      </w:r>
      <w:r w:rsidRPr="00562192">
        <w:rPr>
          <w:rFonts w:cs="Arial"/>
          <w:sz w:val="24"/>
        </w:rPr>
        <w:t xml:space="preserve"> – brokerage funding must support user choice and enable flexible approaches to service delivery, which may be applied at any point during the relevant service user/s engagement with the funded service;</w:t>
      </w:r>
    </w:p>
    <w:p w14:paraId="75D9A032" w14:textId="77777777" w:rsidR="00562192" w:rsidRPr="00562192" w:rsidRDefault="00562192" w:rsidP="00562192">
      <w:pPr>
        <w:pStyle w:val="ListParagraph"/>
        <w:numPr>
          <w:ilvl w:val="0"/>
          <w:numId w:val="18"/>
        </w:numPr>
        <w:suppressAutoHyphens w:val="0"/>
        <w:spacing w:after="160" w:line="259" w:lineRule="auto"/>
        <w:rPr>
          <w:rFonts w:cs="Arial"/>
          <w:sz w:val="24"/>
        </w:rPr>
      </w:pPr>
      <w:r w:rsidRPr="00562192">
        <w:rPr>
          <w:rFonts w:cs="Arial"/>
          <w:b/>
          <w:bCs/>
          <w:sz w:val="24"/>
        </w:rPr>
        <w:t>Case Management</w:t>
      </w:r>
      <w:r w:rsidRPr="00562192">
        <w:rPr>
          <w:rFonts w:cs="Arial"/>
          <w:sz w:val="24"/>
        </w:rPr>
        <w:t xml:space="preserve"> – brokerage funding is used within a case management context to enable the relevant service user/s to access a range of goods, resources, activities and services they may need to achieve the outcomes identified in their case plan. Supports and services purchased with brokerage funding should be:</w:t>
      </w:r>
    </w:p>
    <w:p w14:paraId="38E38DE2" w14:textId="77777777" w:rsidR="00562192" w:rsidRPr="00562192" w:rsidRDefault="00562192" w:rsidP="00562192">
      <w:pPr>
        <w:pStyle w:val="ListParagraph"/>
        <w:numPr>
          <w:ilvl w:val="1"/>
          <w:numId w:val="18"/>
        </w:numPr>
        <w:suppressAutoHyphens w:val="0"/>
        <w:spacing w:after="160" w:line="259" w:lineRule="auto"/>
        <w:rPr>
          <w:rFonts w:cs="Arial"/>
          <w:sz w:val="24"/>
        </w:rPr>
      </w:pPr>
      <w:r w:rsidRPr="00562192">
        <w:rPr>
          <w:rFonts w:cs="Arial"/>
          <w:sz w:val="24"/>
        </w:rPr>
        <w:t>assessed and negotiated in collaboration with the relevant service user/s;</w:t>
      </w:r>
    </w:p>
    <w:p w14:paraId="0CC6EA5A" w14:textId="77777777" w:rsidR="00562192" w:rsidRPr="00562192" w:rsidRDefault="00562192" w:rsidP="00562192">
      <w:pPr>
        <w:pStyle w:val="ListParagraph"/>
        <w:numPr>
          <w:ilvl w:val="1"/>
          <w:numId w:val="18"/>
        </w:numPr>
        <w:suppressAutoHyphens w:val="0"/>
        <w:spacing w:after="160" w:line="259" w:lineRule="auto"/>
        <w:rPr>
          <w:rFonts w:cs="Arial"/>
          <w:sz w:val="24"/>
        </w:rPr>
      </w:pPr>
      <w:r w:rsidRPr="00562192">
        <w:rPr>
          <w:rFonts w:cs="Arial"/>
          <w:sz w:val="24"/>
        </w:rPr>
        <w:lastRenderedPageBreak/>
        <w:t>tailored to the specific needs of the relevant service user/s; and</w:t>
      </w:r>
    </w:p>
    <w:p w14:paraId="46192A9A" w14:textId="77777777" w:rsidR="00562192" w:rsidRPr="00562192" w:rsidRDefault="00562192" w:rsidP="00562192">
      <w:pPr>
        <w:pStyle w:val="ListParagraph"/>
        <w:numPr>
          <w:ilvl w:val="1"/>
          <w:numId w:val="18"/>
        </w:numPr>
        <w:suppressAutoHyphens w:val="0"/>
        <w:spacing w:after="160" w:line="259" w:lineRule="auto"/>
        <w:rPr>
          <w:rFonts w:cs="Arial"/>
          <w:sz w:val="24"/>
        </w:rPr>
      </w:pPr>
      <w:r w:rsidRPr="00562192">
        <w:rPr>
          <w:rFonts w:cs="Arial"/>
          <w:sz w:val="24"/>
        </w:rPr>
        <w:t>a level of assessment and planning should be in place prior to, or concurrently with, the use of brokerage funds.</w:t>
      </w:r>
    </w:p>
    <w:p w14:paraId="1A107627" w14:textId="77777777" w:rsidR="00562192" w:rsidRDefault="00562192" w:rsidP="006E396E">
      <w:pPr>
        <w:pStyle w:val="DAHeading3"/>
      </w:pPr>
    </w:p>
    <w:p w14:paraId="3D36B69A" w14:textId="6D79E738" w:rsidR="00846CF9" w:rsidRPr="00A4072E" w:rsidRDefault="00562192" w:rsidP="000B34B8">
      <w:pPr>
        <w:pStyle w:val="DAheading2"/>
        <w:numPr>
          <w:ilvl w:val="0"/>
          <w:numId w:val="24"/>
        </w:numPr>
        <w:outlineLvl w:val="0"/>
      </w:pPr>
      <w:bookmarkStart w:id="4" w:name="_Toc152666358"/>
      <w:r w:rsidRPr="00A4072E">
        <w:t>Value for money considerations</w:t>
      </w:r>
      <w:bookmarkEnd w:id="4"/>
    </w:p>
    <w:p w14:paraId="7542A981" w14:textId="77777777" w:rsidR="00562192" w:rsidRPr="00562192" w:rsidRDefault="00562192" w:rsidP="00562192">
      <w:pPr>
        <w:rPr>
          <w:rFonts w:cs="Arial"/>
          <w:sz w:val="24"/>
        </w:rPr>
      </w:pPr>
      <w:r w:rsidRPr="00562192">
        <w:rPr>
          <w:rFonts w:cs="Arial"/>
          <w:sz w:val="24"/>
        </w:rPr>
        <w:t>When deciding to expend brokerage funds, funded services must consider whether the intended expenditure is the best use of resources to meet the identified goals within the Aboriginal and/or Torres Strait Islander child or young person’s case plan.</w:t>
      </w:r>
    </w:p>
    <w:p w14:paraId="196DAE14" w14:textId="77777777" w:rsidR="00562192" w:rsidRPr="00562192" w:rsidRDefault="00562192" w:rsidP="00562192">
      <w:pPr>
        <w:rPr>
          <w:rFonts w:cs="Arial"/>
          <w:sz w:val="24"/>
        </w:rPr>
      </w:pPr>
      <w:r w:rsidRPr="00562192">
        <w:rPr>
          <w:rFonts w:cs="Arial"/>
          <w:sz w:val="24"/>
        </w:rPr>
        <w:t>Prior to using brokerage funds to purchase supports, services or resources, the use of available local, state or federal secondary or universal services should be explored.</w:t>
      </w:r>
    </w:p>
    <w:p w14:paraId="1FBC049E" w14:textId="77777777" w:rsidR="00562192" w:rsidRPr="00562192" w:rsidRDefault="00562192" w:rsidP="00562192">
      <w:pPr>
        <w:rPr>
          <w:rFonts w:cs="Arial"/>
          <w:sz w:val="24"/>
        </w:rPr>
      </w:pPr>
      <w:r w:rsidRPr="00562192">
        <w:rPr>
          <w:rFonts w:cs="Arial"/>
          <w:sz w:val="24"/>
        </w:rPr>
        <w:t>Brokerage funds should purchase timely supports, services, activities or resources on a short term or episodic basis that respond to and support the practical and cultural needs of Aboriginal and/or Torres Strait Islander children or young people and/or their families, as determined by the funded service in consultation with the Aboriginal and/or Torres Strait Islander child or young person and/or their family, where delegated authority arrangements are in place.</w:t>
      </w:r>
    </w:p>
    <w:p w14:paraId="0B09E297" w14:textId="77777777" w:rsidR="00562192" w:rsidRPr="00562192" w:rsidRDefault="00562192" w:rsidP="00562192">
      <w:pPr>
        <w:rPr>
          <w:rFonts w:cs="Arial"/>
          <w:sz w:val="24"/>
        </w:rPr>
      </w:pPr>
      <w:r w:rsidRPr="00562192">
        <w:rPr>
          <w:rFonts w:cs="Arial"/>
          <w:sz w:val="24"/>
        </w:rPr>
        <w:t xml:space="preserve">Longer term financial supports to an Aboriginal and/or Torres Strait Islander child or young person may be provided by application of additional care allowances (e.g., High Support Needs or Complex Support Needs Allowances), an Individualised Placement and Support (IPS) Package or supports through other schemes managed outside the department, for example the National Disability Insurance Scheme.  The funded service should discuss the need for, and requirements of, other supports, including longer term supports, that may be necessary with the department before </w:t>
      </w:r>
      <w:proofErr w:type="gramStart"/>
      <w:r w:rsidRPr="00562192">
        <w:rPr>
          <w:rFonts w:cs="Arial"/>
          <w:sz w:val="24"/>
        </w:rPr>
        <w:t>making a decision</w:t>
      </w:r>
      <w:proofErr w:type="gramEnd"/>
      <w:r w:rsidRPr="00562192">
        <w:rPr>
          <w:rFonts w:cs="Arial"/>
          <w:sz w:val="24"/>
        </w:rPr>
        <w:t>.</w:t>
      </w:r>
    </w:p>
    <w:p w14:paraId="7CFCAAB5" w14:textId="00D56ABE" w:rsidR="005C2DC6" w:rsidRDefault="005C2DC6" w:rsidP="00562192">
      <w:pPr>
        <w:pStyle w:val="DAHeading3"/>
        <w:rPr>
          <w:rFonts w:eastAsia="Times New Roman" w:cs="Arial"/>
          <w:color w:val="212529"/>
          <w:szCs w:val="22"/>
          <w:lang w:val="en" w:eastAsia="en-AU"/>
        </w:rPr>
      </w:pPr>
    </w:p>
    <w:p w14:paraId="57E4966C" w14:textId="66086E31" w:rsidR="00562192" w:rsidRPr="00A4072E" w:rsidRDefault="00562192" w:rsidP="00A4072E">
      <w:pPr>
        <w:pStyle w:val="DAheading2"/>
        <w:numPr>
          <w:ilvl w:val="0"/>
          <w:numId w:val="24"/>
        </w:numPr>
        <w:outlineLvl w:val="0"/>
      </w:pPr>
      <w:bookmarkStart w:id="5" w:name="_Toc152666359"/>
      <w:r w:rsidRPr="00A4072E">
        <w:t>Meeting the needs of Aboriginal and/or Torres Strait Islander children, young people and/or their families</w:t>
      </w:r>
      <w:bookmarkEnd w:id="5"/>
    </w:p>
    <w:p w14:paraId="0E494A16" w14:textId="77777777" w:rsidR="00562192" w:rsidRPr="00562192" w:rsidRDefault="00562192" w:rsidP="00562192">
      <w:pPr>
        <w:rPr>
          <w:rFonts w:cs="Arial"/>
          <w:sz w:val="24"/>
        </w:rPr>
      </w:pPr>
      <w:r w:rsidRPr="00562192">
        <w:rPr>
          <w:rFonts w:cs="Arial"/>
          <w:sz w:val="24"/>
        </w:rPr>
        <w:t>Brokerage funds should be used to purchase goods, services or activities only when existing services, supports or resources cannot meet the identified needs of the Aboriginal and/or Torres Strait Islander child or young person, or are not readily accessible.</w:t>
      </w:r>
    </w:p>
    <w:p w14:paraId="2CABF58D" w14:textId="77777777" w:rsidR="00562192" w:rsidRPr="00562192" w:rsidRDefault="00562192" w:rsidP="00562192">
      <w:pPr>
        <w:rPr>
          <w:rFonts w:cs="Arial"/>
          <w:sz w:val="24"/>
        </w:rPr>
      </w:pPr>
      <w:r w:rsidRPr="00562192">
        <w:rPr>
          <w:rFonts w:cs="Arial"/>
          <w:sz w:val="24"/>
        </w:rPr>
        <w:t>When emergent needs are identified, either because the relevant service user/s are new and a full assessment of their needs is not yet completed or documented, brokerage funding should be used to immediately meet the identified need.</w:t>
      </w:r>
    </w:p>
    <w:p w14:paraId="5BF7E79B" w14:textId="77777777" w:rsidR="00562192" w:rsidRPr="00562192" w:rsidRDefault="00562192" w:rsidP="00562192">
      <w:pPr>
        <w:rPr>
          <w:rFonts w:cs="Arial"/>
          <w:sz w:val="24"/>
        </w:rPr>
      </w:pPr>
      <w:r w:rsidRPr="00562192">
        <w:rPr>
          <w:rFonts w:cs="Arial"/>
          <w:sz w:val="24"/>
        </w:rPr>
        <w:t>When the need is ongoing, funded services will support the identification of these needs through regular communication with the department and as required between planned meetings.  Funded services will contribute information on how any need can or has been met through available brokerage funding.</w:t>
      </w:r>
    </w:p>
    <w:p w14:paraId="507D06CA" w14:textId="77777777" w:rsidR="00562192" w:rsidRPr="00562192" w:rsidRDefault="00562192" w:rsidP="00562192">
      <w:pPr>
        <w:rPr>
          <w:rFonts w:cs="Arial"/>
          <w:sz w:val="24"/>
        </w:rPr>
      </w:pPr>
      <w:r w:rsidRPr="00562192">
        <w:rPr>
          <w:rFonts w:cs="Arial"/>
          <w:sz w:val="24"/>
        </w:rPr>
        <w:t>Funded services and the department should engage in regular communication with each other and with relevant service users to build their understanding of, and the process of applying for, other supports including:</w:t>
      </w:r>
    </w:p>
    <w:p w14:paraId="677A5949" w14:textId="77777777" w:rsidR="00562192" w:rsidRPr="00562192" w:rsidRDefault="00562192" w:rsidP="00562192">
      <w:pPr>
        <w:pStyle w:val="ListParagraph"/>
        <w:numPr>
          <w:ilvl w:val="0"/>
          <w:numId w:val="19"/>
        </w:numPr>
        <w:suppressAutoHyphens w:val="0"/>
        <w:spacing w:after="160" w:line="259" w:lineRule="auto"/>
        <w:rPr>
          <w:rFonts w:cs="Arial"/>
          <w:sz w:val="24"/>
        </w:rPr>
      </w:pPr>
      <w:r w:rsidRPr="00562192">
        <w:rPr>
          <w:rFonts w:cs="Arial"/>
          <w:sz w:val="24"/>
        </w:rPr>
        <w:t>Reimbursement through Child Related Costs (CRC)</w:t>
      </w:r>
    </w:p>
    <w:p w14:paraId="5BC0208E" w14:textId="77777777" w:rsidR="00562192" w:rsidRPr="00562192" w:rsidRDefault="00562192" w:rsidP="00562192">
      <w:pPr>
        <w:pStyle w:val="ListParagraph"/>
        <w:numPr>
          <w:ilvl w:val="0"/>
          <w:numId w:val="19"/>
        </w:numPr>
        <w:suppressAutoHyphens w:val="0"/>
        <w:spacing w:after="160" w:line="259" w:lineRule="auto"/>
        <w:rPr>
          <w:rFonts w:cs="Arial"/>
          <w:sz w:val="24"/>
        </w:rPr>
      </w:pPr>
      <w:r w:rsidRPr="00562192">
        <w:rPr>
          <w:rFonts w:cs="Arial"/>
          <w:sz w:val="24"/>
        </w:rPr>
        <w:t>Additional Carer Allowances such as:</w:t>
      </w:r>
    </w:p>
    <w:p w14:paraId="74ADDC06" w14:textId="77777777" w:rsidR="00562192" w:rsidRPr="00562192" w:rsidRDefault="00562192" w:rsidP="00562192">
      <w:pPr>
        <w:pStyle w:val="ListParagraph"/>
        <w:numPr>
          <w:ilvl w:val="1"/>
          <w:numId w:val="19"/>
        </w:numPr>
        <w:suppressAutoHyphens w:val="0"/>
        <w:spacing w:after="160" w:line="259" w:lineRule="auto"/>
        <w:rPr>
          <w:rFonts w:cs="Arial"/>
          <w:sz w:val="24"/>
        </w:rPr>
      </w:pPr>
      <w:r w:rsidRPr="00562192">
        <w:rPr>
          <w:rFonts w:cs="Arial"/>
          <w:sz w:val="24"/>
        </w:rPr>
        <w:lastRenderedPageBreak/>
        <w:t>Establishment Allowance</w:t>
      </w:r>
    </w:p>
    <w:p w14:paraId="4CDEB65C" w14:textId="77777777" w:rsidR="00562192" w:rsidRPr="00562192" w:rsidRDefault="00562192" w:rsidP="00562192">
      <w:pPr>
        <w:pStyle w:val="ListParagraph"/>
        <w:numPr>
          <w:ilvl w:val="1"/>
          <w:numId w:val="19"/>
        </w:numPr>
        <w:suppressAutoHyphens w:val="0"/>
        <w:spacing w:after="160" w:line="259" w:lineRule="auto"/>
        <w:rPr>
          <w:rFonts w:cs="Arial"/>
          <w:sz w:val="24"/>
        </w:rPr>
      </w:pPr>
      <w:r w:rsidRPr="00562192">
        <w:rPr>
          <w:rFonts w:cs="Arial"/>
          <w:sz w:val="24"/>
        </w:rPr>
        <w:t>Start-up Allowance</w:t>
      </w:r>
    </w:p>
    <w:p w14:paraId="1706BBB8" w14:textId="77777777" w:rsidR="00562192" w:rsidRPr="00562192" w:rsidRDefault="00562192" w:rsidP="00562192">
      <w:pPr>
        <w:pStyle w:val="ListParagraph"/>
        <w:numPr>
          <w:ilvl w:val="1"/>
          <w:numId w:val="19"/>
        </w:numPr>
        <w:suppressAutoHyphens w:val="0"/>
        <w:spacing w:after="160" w:line="259" w:lineRule="auto"/>
        <w:rPr>
          <w:rFonts w:cs="Arial"/>
          <w:sz w:val="24"/>
        </w:rPr>
      </w:pPr>
      <w:r w:rsidRPr="00562192">
        <w:rPr>
          <w:rFonts w:cs="Arial"/>
          <w:sz w:val="24"/>
        </w:rPr>
        <w:t>High Support Needs Allowance (HSNA)</w:t>
      </w:r>
    </w:p>
    <w:p w14:paraId="785C4294" w14:textId="77777777" w:rsidR="00562192" w:rsidRPr="00562192" w:rsidRDefault="00562192" w:rsidP="00562192">
      <w:pPr>
        <w:pStyle w:val="ListParagraph"/>
        <w:numPr>
          <w:ilvl w:val="1"/>
          <w:numId w:val="19"/>
        </w:numPr>
        <w:suppressAutoHyphens w:val="0"/>
        <w:spacing w:after="160" w:line="259" w:lineRule="auto"/>
        <w:rPr>
          <w:rFonts w:cs="Arial"/>
          <w:sz w:val="24"/>
        </w:rPr>
      </w:pPr>
      <w:r w:rsidRPr="00562192">
        <w:rPr>
          <w:rFonts w:cs="Arial"/>
          <w:sz w:val="24"/>
        </w:rPr>
        <w:t>Complex Support Needs Allowance (CSNA)</w:t>
      </w:r>
    </w:p>
    <w:p w14:paraId="06732593" w14:textId="77777777" w:rsidR="00562192" w:rsidRPr="00562192" w:rsidRDefault="00562192" w:rsidP="00562192">
      <w:pPr>
        <w:pStyle w:val="ListParagraph"/>
        <w:numPr>
          <w:ilvl w:val="0"/>
          <w:numId w:val="19"/>
        </w:numPr>
        <w:suppressAutoHyphens w:val="0"/>
        <w:spacing w:after="160" w:line="259" w:lineRule="auto"/>
        <w:rPr>
          <w:rFonts w:cs="Arial"/>
          <w:sz w:val="24"/>
        </w:rPr>
      </w:pPr>
      <w:r w:rsidRPr="00562192">
        <w:rPr>
          <w:rFonts w:cs="Arial"/>
          <w:sz w:val="24"/>
        </w:rPr>
        <w:t>Additional Individualised Placement and Support (IPS) packages.</w:t>
      </w:r>
    </w:p>
    <w:p w14:paraId="0A752AFC" w14:textId="77777777" w:rsidR="00562192" w:rsidRPr="00562192" w:rsidRDefault="00562192" w:rsidP="00562192">
      <w:pPr>
        <w:pStyle w:val="TableText-TBL-BR-2-TBL-BR-1-TBL-BR-2-TBL-BR-2-TBL-BR-2-TBL-BR-2-TBL-BR-2-TBL-BR-2-TBL-BR-2-TBL-BR-2-TBL-BR-2-TBL-BR-2-TBL-BR-2-TBL-BR-2-TBL-BR-2-TBL-BR-2-TBL-BR-2"/>
        <w:ind w:left="0"/>
        <w:rPr>
          <w:rFonts w:cs="Arial"/>
          <w:bCs/>
          <w:sz w:val="24"/>
          <w:szCs w:val="24"/>
        </w:rPr>
      </w:pPr>
      <w:r w:rsidRPr="00562192">
        <w:rPr>
          <w:rFonts w:cs="Arial"/>
          <w:sz w:val="24"/>
          <w:szCs w:val="24"/>
        </w:rPr>
        <w:t>The use of brokerage funds will be considered by each funded service on a case-by-case basis, and will be flexible and tailored to meet the needs of each relevant service user/s, and may include, but is not limited to:</w:t>
      </w:r>
    </w:p>
    <w:p w14:paraId="4BFEA9F6" w14:textId="77777777" w:rsidR="00562192" w:rsidRPr="00562192" w:rsidRDefault="00562192" w:rsidP="00562192">
      <w:pPr>
        <w:pStyle w:val="ListParagraph"/>
        <w:numPr>
          <w:ilvl w:val="0"/>
          <w:numId w:val="19"/>
        </w:numPr>
        <w:suppressAutoHyphens w:val="0"/>
        <w:spacing w:after="160" w:line="259" w:lineRule="auto"/>
        <w:rPr>
          <w:rFonts w:cs="Arial"/>
          <w:sz w:val="24"/>
        </w:rPr>
      </w:pPr>
      <w:r w:rsidRPr="00562192">
        <w:rPr>
          <w:rFonts w:cs="Arial"/>
          <w:sz w:val="24"/>
        </w:rPr>
        <w:t>facilitation of family and kin contact opportunities;</w:t>
      </w:r>
    </w:p>
    <w:p w14:paraId="03CB26DA" w14:textId="77777777" w:rsidR="00562192" w:rsidRPr="00562192" w:rsidRDefault="00562192" w:rsidP="00562192">
      <w:pPr>
        <w:pStyle w:val="ListParagraph"/>
        <w:numPr>
          <w:ilvl w:val="0"/>
          <w:numId w:val="19"/>
        </w:numPr>
        <w:suppressAutoHyphens w:val="0"/>
        <w:spacing w:after="160" w:line="259" w:lineRule="auto"/>
        <w:rPr>
          <w:rFonts w:cs="Arial"/>
          <w:sz w:val="24"/>
        </w:rPr>
      </w:pPr>
      <w:r w:rsidRPr="00562192">
        <w:rPr>
          <w:rFonts w:cs="Arial"/>
          <w:sz w:val="24"/>
        </w:rPr>
        <w:t>parenting coaching related to family time;</w:t>
      </w:r>
    </w:p>
    <w:p w14:paraId="239E1C90" w14:textId="77777777" w:rsidR="00562192" w:rsidRPr="00562192" w:rsidRDefault="00562192" w:rsidP="00562192">
      <w:pPr>
        <w:pStyle w:val="ListParagraph"/>
        <w:numPr>
          <w:ilvl w:val="0"/>
          <w:numId w:val="19"/>
        </w:numPr>
        <w:suppressAutoHyphens w:val="0"/>
        <w:spacing w:after="160" w:line="259" w:lineRule="auto"/>
        <w:rPr>
          <w:rFonts w:cs="Arial"/>
          <w:sz w:val="24"/>
        </w:rPr>
      </w:pPr>
      <w:r w:rsidRPr="00562192">
        <w:rPr>
          <w:rFonts w:cs="Arial"/>
          <w:sz w:val="24"/>
        </w:rPr>
        <w:t>cultural enrichment as part of connection responsibilities;</w:t>
      </w:r>
    </w:p>
    <w:p w14:paraId="03BA8FF7" w14:textId="77777777" w:rsidR="00562192" w:rsidRPr="00562192" w:rsidRDefault="00562192" w:rsidP="00562192">
      <w:pPr>
        <w:pStyle w:val="ListParagraph"/>
        <w:numPr>
          <w:ilvl w:val="0"/>
          <w:numId w:val="19"/>
        </w:numPr>
        <w:suppressAutoHyphens w:val="0"/>
        <w:spacing w:after="160" w:line="259" w:lineRule="auto"/>
        <w:rPr>
          <w:rFonts w:cs="Arial"/>
          <w:sz w:val="24"/>
        </w:rPr>
      </w:pPr>
      <w:r w:rsidRPr="00562192">
        <w:rPr>
          <w:rFonts w:cs="Arial"/>
          <w:sz w:val="24"/>
        </w:rPr>
        <w:t>supporting cultural competency in carers; and/or</w:t>
      </w:r>
    </w:p>
    <w:p w14:paraId="2731AD6E" w14:textId="77777777" w:rsidR="00562192" w:rsidRPr="00562192" w:rsidRDefault="00562192" w:rsidP="00562192">
      <w:pPr>
        <w:pStyle w:val="ListParagraph"/>
        <w:numPr>
          <w:ilvl w:val="0"/>
          <w:numId w:val="19"/>
        </w:numPr>
        <w:suppressAutoHyphens w:val="0"/>
        <w:spacing w:after="160" w:line="259" w:lineRule="auto"/>
        <w:rPr>
          <w:rFonts w:cs="Arial"/>
          <w:sz w:val="24"/>
        </w:rPr>
      </w:pPr>
      <w:r w:rsidRPr="00562192">
        <w:rPr>
          <w:rFonts w:cs="Arial"/>
          <w:sz w:val="24"/>
        </w:rPr>
        <w:t>activities related to supporting reunification of children with parents.</w:t>
      </w:r>
    </w:p>
    <w:p w14:paraId="506B7694" w14:textId="6BC320AE" w:rsidR="00562192" w:rsidRPr="00562192" w:rsidRDefault="00562192" w:rsidP="00562192">
      <w:pPr>
        <w:rPr>
          <w:rFonts w:cs="Arial"/>
          <w:sz w:val="24"/>
        </w:rPr>
      </w:pPr>
      <w:proofErr w:type="gramStart"/>
      <w:r w:rsidRPr="00562192">
        <w:rPr>
          <w:rFonts w:cs="Arial"/>
          <w:sz w:val="24"/>
        </w:rPr>
        <w:t>As a general rule</w:t>
      </w:r>
      <w:proofErr w:type="gramEnd"/>
      <w:r w:rsidRPr="00562192">
        <w:rPr>
          <w:rFonts w:cs="Arial"/>
          <w:sz w:val="24"/>
        </w:rPr>
        <w:t>, any items or assets purchased with brokerage funds for the direct use by a child or young person should remain the property of that child or young person and be ‘portable.’  The term ‘portable’ means that if the child or young person should change care arrangements or be reunified with their parent/s, then the item/asset will go with that child or young person.  Such goods purchased for children or young people are required to be documented within regular brokerage reporting requirements.</w:t>
      </w:r>
    </w:p>
    <w:p w14:paraId="6E7ECE8B" w14:textId="437F488F" w:rsidR="008B7C60" w:rsidRDefault="008B7C60" w:rsidP="00562192">
      <w:pPr>
        <w:pStyle w:val="DAHeading3"/>
        <w:rPr>
          <w:rFonts w:eastAsia="Times New Roman" w:cs="Arial"/>
          <w:color w:val="212529"/>
          <w:szCs w:val="22"/>
          <w:lang w:val="en" w:eastAsia="en-AU"/>
        </w:rPr>
      </w:pPr>
    </w:p>
    <w:p w14:paraId="050F7CFB" w14:textId="48A6BAB0" w:rsidR="005A2FA7" w:rsidRPr="00A4072E" w:rsidRDefault="00562192" w:rsidP="000B34B8">
      <w:pPr>
        <w:pStyle w:val="DAheading2"/>
        <w:numPr>
          <w:ilvl w:val="0"/>
          <w:numId w:val="24"/>
        </w:numPr>
        <w:outlineLvl w:val="0"/>
      </w:pPr>
      <w:bookmarkStart w:id="6" w:name="_Toc152666360"/>
      <w:r w:rsidRPr="00A4072E">
        <w:t>Limits on brokerage expenditure</w:t>
      </w:r>
      <w:bookmarkEnd w:id="6"/>
    </w:p>
    <w:p w14:paraId="5B299717" w14:textId="77777777" w:rsidR="00562192" w:rsidRPr="00562192" w:rsidRDefault="00562192" w:rsidP="00562192">
      <w:pPr>
        <w:rPr>
          <w:rFonts w:cs="Arial"/>
          <w:sz w:val="24"/>
        </w:rPr>
      </w:pPr>
      <w:r w:rsidRPr="00562192">
        <w:rPr>
          <w:rFonts w:cs="Arial"/>
          <w:sz w:val="24"/>
        </w:rPr>
        <w:t xml:space="preserve">It is expected that delegated authority funded services will use brokerage funds to directly pay for goods and services on behalf of relevant service user/s. </w:t>
      </w:r>
    </w:p>
    <w:p w14:paraId="6596380D" w14:textId="77777777" w:rsidR="00562192" w:rsidRPr="00562192" w:rsidRDefault="00562192" w:rsidP="00562192">
      <w:pPr>
        <w:rPr>
          <w:rFonts w:cs="Arial"/>
          <w:sz w:val="24"/>
        </w:rPr>
      </w:pPr>
      <w:r w:rsidRPr="00562192">
        <w:rPr>
          <w:rFonts w:cs="Arial"/>
          <w:sz w:val="24"/>
        </w:rPr>
        <w:t>Brokerage funds are not to be used:</w:t>
      </w:r>
    </w:p>
    <w:p w14:paraId="4EF13DBD" w14:textId="77777777" w:rsidR="00562192" w:rsidRPr="00562192" w:rsidRDefault="00562192" w:rsidP="00562192">
      <w:pPr>
        <w:pStyle w:val="ListParagraph"/>
        <w:numPr>
          <w:ilvl w:val="0"/>
          <w:numId w:val="20"/>
        </w:numPr>
        <w:suppressAutoHyphens w:val="0"/>
        <w:spacing w:after="160" w:line="259" w:lineRule="auto"/>
        <w:rPr>
          <w:rFonts w:cs="Arial"/>
          <w:sz w:val="24"/>
        </w:rPr>
      </w:pPr>
      <w:r w:rsidRPr="00562192">
        <w:rPr>
          <w:rFonts w:cs="Arial"/>
          <w:sz w:val="24"/>
        </w:rPr>
        <w:t>to duplicate the provision of one-off financial assistance or any other form of Emergency Relief;</w:t>
      </w:r>
    </w:p>
    <w:p w14:paraId="17DA4E89" w14:textId="77777777" w:rsidR="00562192" w:rsidRPr="00562192" w:rsidRDefault="00562192" w:rsidP="00562192">
      <w:pPr>
        <w:pStyle w:val="ListParagraph"/>
        <w:numPr>
          <w:ilvl w:val="0"/>
          <w:numId w:val="20"/>
        </w:numPr>
        <w:suppressAutoHyphens w:val="0"/>
        <w:spacing w:after="160" w:line="259" w:lineRule="auto"/>
        <w:rPr>
          <w:rFonts w:cs="Arial"/>
          <w:sz w:val="24"/>
        </w:rPr>
      </w:pPr>
      <w:r w:rsidRPr="00562192">
        <w:rPr>
          <w:rFonts w:cs="Arial"/>
          <w:sz w:val="24"/>
        </w:rPr>
        <w:t>to reimburse a worker already employed within the funded service;</w:t>
      </w:r>
    </w:p>
    <w:p w14:paraId="2D038D33" w14:textId="77777777" w:rsidR="00562192" w:rsidRPr="00562192" w:rsidRDefault="00562192" w:rsidP="00562192">
      <w:pPr>
        <w:pStyle w:val="ListParagraph"/>
        <w:numPr>
          <w:ilvl w:val="0"/>
          <w:numId w:val="20"/>
        </w:numPr>
        <w:suppressAutoHyphens w:val="0"/>
        <w:spacing w:after="160" w:line="259" w:lineRule="auto"/>
        <w:rPr>
          <w:rFonts w:cs="Arial"/>
          <w:sz w:val="24"/>
        </w:rPr>
      </w:pPr>
      <w:r w:rsidRPr="00562192">
        <w:rPr>
          <w:rFonts w:cs="Arial"/>
          <w:sz w:val="24"/>
        </w:rPr>
        <w:t>for direct cash payments or any other form of reimbursement to service user/s; or</w:t>
      </w:r>
    </w:p>
    <w:p w14:paraId="7C4CB68A" w14:textId="77777777" w:rsidR="00562192" w:rsidRPr="00562192" w:rsidRDefault="00562192" w:rsidP="00E93B96">
      <w:pPr>
        <w:pStyle w:val="ListParagraph"/>
        <w:numPr>
          <w:ilvl w:val="0"/>
          <w:numId w:val="20"/>
        </w:numPr>
        <w:suppressAutoHyphens w:val="0"/>
        <w:spacing w:after="0" w:line="259" w:lineRule="auto"/>
        <w:rPr>
          <w:rFonts w:cs="Arial"/>
          <w:sz w:val="24"/>
        </w:rPr>
      </w:pPr>
      <w:r w:rsidRPr="00562192">
        <w:rPr>
          <w:rFonts w:cs="Arial"/>
          <w:sz w:val="24"/>
        </w:rPr>
        <w:t>where it has already been approved to be met by Child Related Costs or included in the assessment of an additional carer allowance (HSNA/CSNA).</w:t>
      </w:r>
    </w:p>
    <w:p w14:paraId="2603C43F" w14:textId="77777777" w:rsidR="00562192" w:rsidRPr="00E93B96" w:rsidRDefault="00562192" w:rsidP="00562192">
      <w:pPr>
        <w:pStyle w:val="DAHeading3"/>
        <w:rPr>
          <w:rFonts w:cs="Arial"/>
        </w:rPr>
      </w:pPr>
    </w:p>
    <w:p w14:paraId="798C5EF4" w14:textId="566B5223" w:rsidR="00562192" w:rsidRPr="00A4072E" w:rsidRDefault="00562192" w:rsidP="00A4072E">
      <w:pPr>
        <w:pStyle w:val="DAheading2"/>
        <w:numPr>
          <w:ilvl w:val="0"/>
          <w:numId w:val="24"/>
        </w:numPr>
        <w:outlineLvl w:val="0"/>
      </w:pPr>
      <w:bookmarkStart w:id="7" w:name="_Toc152666361"/>
      <w:r w:rsidRPr="00A4072E">
        <w:t>Accountability</w:t>
      </w:r>
      <w:bookmarkEnd w:id="7"/>
      <w:r w:rsidRPr="00A4072E">
        <w:t xml:space="preserve"> </w:t>
      </w:r>
    </w:p>
    <w:p w14:paraId="1923AE14" w14:textId="77777777" w:rsidR="00562192" w:rsidRPr="00562192" w:rsidRDefault="00562192" w:rsidP="00562192">
      <w:pPr>
        <w:rPr>
          <w:rFonts w:cs="Arial"/>
          <w:sz w:val="24"/>
        </w:rPr>
      </w:pPr>
      <w:r w:rsidRPr="00562192">
        <w:rPr>
          <w:rFonts w:cs="Arial"/>
          <w:sz w:val="24"/>
        </w:rPr>
        <w:t xml:space="preserve">The total proportion of funding that may be allocated towards brokerage costs from within a funded service’s existing delegated authority contract will be negotiated with each funded service and outlined at </w:t>
      </w:r>
      <w:r w:rsidRPr="00562192">
        <w:rPr>
          <w:rFonts w:cs="Arial"/>
          <w:b/>
          <w:bCs/>
          <w:sz w:val="24"/>
        </w:rPr>
        <w:t>section 6.1 Services</w:t>
      </w:r>
      <w:r w:rsidRPr="00562192">
        <w:rPr>
          <w:rFonts w:cs="Arial"/>
          <w:sz w:val="24"/>
        </w:rPr>
        <w:t xml:space="preserve"> of the relevant Funding Schedule.</w:t>
      </w:r>
    </w:p>
    <w:p w14:paraId="08D9FD6D" w14:textId="77777777" w:rsidR="00562192" w:rsidRPr="00562192" w:rsidRDefault="00562192" w:rsidP="00562192">
      <w:pPr>
        <w:rPr>
          <w:rFonts w:cs="Arial"/>
          <w:sz w:val="24"/>
        </w:rPr>
      </w:pPr>
      <w:r w:rsidRPr="00562192">
        <w:rPr>
          <w:rFonts w:cs="Arial"/>
          <w:sz w:val="24"/>
        </w:rPr>
        <w:t xml:space="preserve">The funded service will retain responsibility for assessing the need, use and reporting of brokerage funds on a case-by case basis up to the approved limited outlined at </w:t>
      </w:r>
      <w:r w:rsidRPr="00562192">
        <w:rPr>
          <w:rFonts w:cs="Arial"/>
          <w:b/>
          <w:bCs/>
          <w:sz w:val="24"/>
        </w:rPr>
        <w:t>section 6.1 Services</w:t>
      </w:r>
      <w:r w:rsidRPr="00562192">
        <w:rPr>
          <w:rFonts w:cs="Arial"/>
          <w:sz w:val="24"/>
        </w:rPr>
        <w:t xml:space="preserve"> of the relevant Funding Schedule and in alignment with these guidelines.</w:t>
      </w:r>
    </w:p>
    <w:p w14:paraId="2DDBEF01" w14:textId="77777777" w:rsidR="00562192" w:rsidRPr="00562192" w:rsidRDefault="00562192" w:rsidP="00562192">
      <w:pPr>
        <w:rPr>
          <w:rFonts w:cs="Arial"/>
          <w:sz w:val="24"/>
        </w:rPr>
      </w:pPr>
      <w:r w:rsidRPr="00562192">
        <w:rPr>
          <w:rFonts w:cs="Arial"/>
          <w:sz w:val="24"/>
        </w:rPr>
        <w:t>The funded service is responsible for:</w:t>
      </w:r>
    </w:p>
    <w:p w14:paraId="696CB9E0" w14:textId="77777777" w:rsidR="00562192" w:rsidRPr="00562192" w:rsidRDefault="00562192" w:rsidP="00562192">
      <w:pPr>
        <w:pStyle w:val="ListParagraph"/>
        <w:numPr>
          <w:ilvl w:val="0"/>
          <w:numId w:val="21"/>
        </w:numPr>
        <w:suppressAutoHyphens w:val="0"/>
        <w:spacing w:after="160" w:line="259" w:lineRule="auto"/>
        <w:rPr>
          <w:rFonts w:cs="Arial"/>
          <w:sz w:val="24"/>
        </w:rPr>
      </w:pPr>
      <w:r w:rsidRPr="00562192">
        <w:rPr>
          <w:rFonts w:cs="Arial"/>
          <w:sz w:val="24"/>
        </w:rPr>
        <w:t>quarantining brokerage funds from administration and organisational expenses;</w:t>
      </w:r>
    </w:p>
    <w:p w14:paraId="0B23AF47" w14:textId="77777777" w:rsidR="00562192" w:rsidRPr="00562192" w:rsidRDefault="00562192" w:rsidP="00562192">
      <w:pPr>
        <w:pStyle w:val="ListParagraph"/>
        <w:numPr>
          <w:ilvl w:val="0"/>
          <w:numId w:val="21"/>
        </w:numPr>
        <w:suppressAutoHyphens w:val="0"/>
        <w:spacing w:after="160" w:line="259" w:lineRule="auto"/>
        <w:rPr>
          <w:rFonts w:cs="Arial"/>
          <w:sz w:val="24"/>
        </w:rPr>
      </w:pPr>
      <w:r w:rsidRPr="00562192">
        <w:rPr>
          <w:rFonts w:cs="Arial"/>
          <w:sz w:val="24"/>
        </w:rPr>
        <w:lastRenderedPageBreak/>
        <w:t>covering the outlay of managing brokerage funds within the general administrative costs of the service;</w:t>
      </w:r>
    </w:p>
    <w:p w14:paraId="7307F5A8" w14:textId="77777777" w:rsidR="00562192" w:rsidRPr="00562192" w:rsidRDefault="00562192" w:rsidP="00562192">
      <w:pPr>
        <w:pStyle w:val="ListParagraph"/>
        <w:numPr>
          <w:ilvl w:val="0"/>
          <w:numId w:val="21"/>
        </w:numPr>
        <w:suppressAutoHyphens w:val="0"/>
        <w:spacing w:after="160" w:line="259" w:lineRule="auto"/>
        <w:rPr>
          <w:rFonts w:cs="Arial"/>
          <w:sz w:val="24"/>
        </w:rPr>
      </w:pPr>
      <w:r w:rsidRPr="00562192">
        <w:rPr>
          <w:rFonts w:cs="Arial"/>
          <w:sz w:val="24"/>
        </w:rPr>
        <w:t>developing policies and procedures for managing demand for brokerage funding, including eligibility requirements and assessment processes;</w:t>
      </w:r>
    </w:p>
    <w:p w14:paraId="13681715" w14:textId="77777777" w:rsidR="00562192" w:rsidRPr="00562192" w:rsidRDefault="00562192" w:rsidP="00562192">
      <w:pPr>
        <w:pStyle w:val="ListParagraph"/>
        <w:numPr>
          <w:ilvl w:val="0"/>
          <w:numId w:val="21"/>
        </w:numPr>
        <w:suppressAutoHyphens w:val="0"/>
        <w:spacing w:after="160" w:line="259" w:lineRule="auto"/>
        <w:rPr>
          <w:rFonts w:cs="Arial"/>
          <w:sz w:val="24"/>
        </w:rPr>
      </w:pPr>
      <w:r w:rsidRPr="00562192">
        <w:rPr>
          <w:rFonts w:cs="Arial"/>
          <w:sz w:val="24"/>
        </w:rPr>
        <w:t xml:space="preserve">reporting brokerage expenditure and outcomes via the identified performance measures within </w:t>
      </w:r>
      <w:r w:rsidRPr="00562192">
        <w:rPr>
          <w:rFonts w:cs="Arial"/>
          <w:b/>
          <w:bCs/>
          <w:sz w:val="24"/>
        </w:rPr>
        <w:t>section 7.1 Performance measures</w:t>
      </w:r>
      <w:r w:rsidRPr="00562192">
        <w:rPr>
          <w:rFonts w:cs="Arial"/>
          <w:sz w:val="24"/>
        </w:rPr>
        <w:t xml:space="preserve"> of the relevant Funding Schedule confirming that funds have been expended for their intended purpose and develop processes to identify, manage and account separately for expenditure via the financial reporting format specified within </w:t>
      </w:r>
      <w:r w:rsidRPr="00562192">
        <w:rPr>
          <w:rFonts w:cs="Arial"/>
          <w:b/>
          <w:bCs/>
          <w:sz w:val="24"/>
        </w:rPr>
        <w:t>section 7.2. Data, statement and reports You are to submit</w:t>
      </w:r>
      <w:r w:rsidRPr="00562192">
        <w:rPr>
          <w:rFonts w:cs="Arial"/>
          <w:sz w:val="24"/>
        </w:rPr>
        <w:t xml:space="preserve"> of the relevant Funding Schedule; and </w:t>
      </w:r>
    </w:p>
    <w:p w14:paraId="1B4A4D95" w14:textId="77777777" w:rsidR="00562192" w:rsidRPr="00562192" w:rsidRDefault="00562192" w:rsidP="00562192">
      <w:pPr>
        <w:pStyle w:val="ListParagraph"/>
        <w:numPr>
          <w:ilvl w:val="0"/>
          <w:numId w:val="21"/>
        </w:numPr>
        <w:suppressAutoHyphens w:val="0"/>
        <w:spacing w:after="160" w:line="259" w:lineRule="auto"/>
        <w:rPr>
          <w:rFonts w:cs="Arial"/>
          <w:sz w:val="24"/>
        </w:rPr>
      </w:pPr>
      <w:r w:rsidRPr="00562192">
        <w:rPr>
          <w:rFonts w:cs="Arial"/>
          <w:sz w:val="24"/>
        </w:rPr>
        <w:t>ensuring that brokerage funds provided by the department are used in accordance with these guidelines.</w:t>
      </w:r>
    </w:p>
    <w:p w14:paraId="508C39B7" w14:textId="77777777" w:rsidR="00562192" w:rsidRPr="00562192" w:rsidRDefault="00562192" w:rsidP="00562192">
      <w:pPr>
        <w:spacing w:after="0"/>
        <w:jc w:val="both"/>
        <w:rPr>
          <w:rFonts w:eastAsia="Times New Roman" w:cs="Arial"/>
          <w:color w:val="212529"/>
          <w:szCs w:val="22"/>
          <w:lang w:val="en" w:eastAsia="en-AU"/>
        </w:rPr>
      </w:pPr>
    </w:p>
    <w:p w14:paraId="5E9A413B" w14:textId="5EC55E3B" w:rsidR="005A2FA7" w:rsidRDefault="005A2FA7" w:rsidP="0062143D">
      <w:pPr>
        <w:spacing w:after="0"/>
        <w:jc w:val="both"/>
        <w:rPr>
          <w:rFonts w:eastAsia="Times New Roman" w:cs="Arial"/>
          <w:color w:val="212529"/>
          <w:szCs w:val="22"/>
          <w:lang w:val="en" w:eastAsia="en-AU"/>
        </w:rPr>
      </w:pPr>
    </w:p>
    <w:p w14:paraId="54BCE98E" w14:textId="6E58CA8B" w:rsidR="005A2FA7" w:rsidRDefault="005A2FA7" w:rsidP="0062143D">
      <w:pPr>
        <w:spacing w:after="0"/>
        <w:jc w:val="both"/>
        <w:rPr>
          <w:rFonts w:eastAsia="Times New Roman" w:cs="Arial"/>
          <w:color w:val="212529"/>
          <w:szCs w:val="22"/>
          <w:lang w:val="en" w:eastAsia="en-AU"/>
        </w:rPr>
      </w:pPr>
    </w:p>
    <w:p w14:paraId="5F5F2E28" w14:textId="617A9184" w:rsidR="005A2FA7" w:rsidRDefault="005A2FA7" w:rsidP="0062143D">
      <w:pPr>
        <w:spacing w:after="0"/>
        <w:jc w:val="both"/>
        <w:rPr>
          <w:rFonts w:eastAsia="Times New Roman" w:cs="Arial"/>
          <w:color w:val="212529"/>
          <w:szCs w:val="22"/>
          <w:lang w:val="en" w:eastAsia="en-AU"/>
        </w:rPr>
      </w:pPr>
    </w:p>
    <w:p w14:paraId="362D5EC1" w14:textId="0598D7E0" w:rsidR="005A2FA7" w:rsidRDefault="005A2FA7" w:rsidP="0062143D">
      <w:pPr>
        <w:spacing w:after="0"/>
        <w:jc w:val="both"/>
        <w:rPr>
          <w:rFonts w:eastAsia="Times New Roman" w:cs="Arial"/>
          <w:color w:val="212529"/>
          <w:szCs w:val="22"/>
          <w:lang w:val="en" w:eastAsia="en-AU"/>
        </w:rPr>
      </w:pPr>
    </w:p>
    <w:p w14:paraId="539E63F9" w14:textId="7E6E18C0" w:rsidR="005A2FA7" w:rsidRDefault="005A2FA7" w:rsidP="0062143D">
      <w:pPr>
        <w:spacing w:after="0"/>
        <w:jc w:val="both"/>
        <w:rPr>
          <w:rFonts w:eastAsia="Times New Roman" w:cs="Arial"/>
          <w:color w:val="212529"/>
          <w:szCs w:val="22"/>
          <w:lang w:val="en" w:eastAsia="en-AU"/>
        </w:rPr>
      </w:pPr>
    </w:p>
    <w:p w14:paraId="60A350DE" w14:textId="77777777" w:rsidR="008B7C60" w:rsidRDefault="008B7C60" w:rsidP="008B7C60">
      <w:pPr>
        <w:spacing w:after="0"/>
        <w:jc w:val="both"/>
        <w:rPr>
          <w:rFonts w:eastAsia="Times New Roman" w:cs="Arial"/>
          <w:color w:val="212529"/>
          <w:szCs w:val="22"/>
          <w:lang w:val="en" w:eastAsia="en-AU"/>
        </w:rPr>
        <w:sectPr w:rsidR="008B7C60" w:rsidSect="005A2FA7">
          <w:headerReference w:type="default" r:id="rId14"/>
          <w:footerReference w:type="default" r:id="rId15"/>
          <w:headerReference w:type="first" r:id="rId16"/>
          <w:footerReference w:type="first" r:id="rId17"/>
          <w:type w:val="continuous"/>
          <w:pgSz w:w="11900" w:h="16840" w:code="9"/>
          <w:pgMar w:top="2302" w:right="964" w:bottom="851" w:left="964" w:header="284" w:footer="709" w:gutter="0"/>
          <w:cols w:space="709"/>
          <w:titlePg/>
          <w:docGrid w:linePitch="360"/>
        </w:sectPr>
      </w:pPr>
    </w:p>
    <w:p w14:paraId="561CB40A" w14:textId="042DDCDD" w:rsidR="008B7C60" w:rsidRDefault="008B7C60" w:rsidP="0062143D">
      <w:pPr>
        <w:spacing w:after="0"/>
        <w:jc w:val="both"/>
        <w:rPr>
          <w:rFonts w:eastAsia="Times New Roman" w:cs="Arial"/>
          <w:color w:val="212529"/>
          <w:szCs w:val="22"/>
          <w:lang w:val="en" w:eastAsia="en-AU"/>
        </w:rPr>
        <w:sectPr w:rsidR="008B7C60" w:rsidSect="005A2FA7">
          <w:type w:val="continuous"/>
          <w:pgSz w:w="11900" w:h="16840" w:code="9"/>
          <w:pgMar w:top="2302" w:right="964" w:bottom="851" w:left="964" w:header="284" w:footer="709" w:gutter="0"/>
          <w:cols w:space="709"/>
          <w:titlePg/>
          <w:docGrid w:linePitch="360"/>
        </w:sectPr>
      </w:pPr>
    </w:p>
    <w:p w14:paraId="5E95B871" w14:textId="59660D73" w:rsidR="00F34EF4" w:rsidRPr="00C4174E" w:rsidRDefault="00335526" w:rsidP="00C4174E">
      <w:pPr>
        <w:pStyle w:val="Addresses"/>
        <w:jc w:val="both"/>
        <w:rPr>
          <w:lang w:val="en-US"/>
        </w:rPr>
      </w:pPr>
    </w:p>
    <w:sectPr w:rsidR="00F34EF4" w:rsidRPr="00C4174E" w:rsidSect="005A2FA7">
      <w:type w:val="continuous"/>
      <w:pgSz w:w="11900" w:h="16840" w:code="9"/>
      <w:pgMar w:top="2302" w:right="964" w:bottom="851" w:left="96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5C5B" w14:textId="77777777" w:rsidR="00F93292" w:rsidRDefault="00F93292" w:rsidP="005A3008">
      <w:pPr>
        <w:spacing w:after="0"/>
      </w:pPr>
      <w:r>
        <w:separator/>
      </w:r>
    </w:p>
  </w:endnote>
  <w:endnote w:type="continuationSeparator" w:id="0">
    <w:p w14:paraId="460D2493" w14:textId="77777777" w:rsidR="00F93292" w:rsidRDefault="00F93292" w:rsidP="005A30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514849"/>
      <w:docPartObj>
        <w:docPartGallery w:val="Page Numbers (Bottom of Page)"/>
        <w:docPartUnique/>
      </w:docPartObj>
    </w:sdtPr>
    <w:sdtEndPr>
      <w:rPr>
        <w:rStyle w:val="PageNumber"/>
      </w:rPr>
    </w:sdtEndPr>
    <w:sdtContent>
      <w:p w14:paraId="4F540CC6" w14:textId="155BFB69" w:rsidR="00766A57" w:rsidRDefault="00766A57" w:rsidP="0037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4AEB76" w14:textId="77777777" w:rsidR="00766A57" w:rsidRDefault="00766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3628940"/>
      <w:docPartObj>
        <w:docPartGallery w:val="Page Numbers (Bottom of Page)"/>
        <w:docPartUnique/>
      </w:docPartObj>
    </w:sdtPr>
    <w:sdtEndPr>
      <w:rPr>
        <w:rStyle w:val="PageNumber"/>
      </w:rPr>
    </w:sdtEndPr>
    <w:sdtContent>
      <w:p w14:paraId="473E6A60" w14:textId="4FD2A4D1" w:rsidR="00766A57" w:rsidRDefault="00766A57" w:rsidP="0037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2B78EEB" w14:textId="77777777" w:rsidR="00AD2464" w:rsidRDefault="00AD2464" w:rsidP="004647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0AA0" w14:textId="53BD5DD8" w:rsidR="006E396E" w:rsidRDefault="006E396E">
    <w:pPr>
      <w:pStyle w:val="Footer"/>
    </w:pPr>
  </w:p>
  <w:p w14:paraId="2070E481" w14:textId="77777777" w:rsidR="002633BE" w:rsidRDefault="002633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81351"/>
      <w:docPartObj>
        <w:docPartGallery w:val="Page Numbers (Bottom of Page)"/>
        <w:docPartUnique/>
      </w:docPartObj>
    </w:sdtPr>
    <w:sdtEndPr>
      <w:rPr>
        <w:rStyle w:val="PageNumber"/>
      </w:rPr>
    </w:sdtEndPr>
    <w:sdtContent>
      <w:p w14:paraId="78427730" w14:textId="77777777" w:rsidR="0043039E" w:rsidRDefault="0043039E" w:rsidP="0037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8E363BA" w14:textId="77777777" w:rsidR="0043039E" w:rsidRDefault="0043039E" w:rsidP="004647B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6434" w14:textId="77777777" w:rsidR="008B7C60" w:rsidRDefault="008B7C60">
    <w:pPr>
      <w:pStyle w:val="Footer"/>
    </w:pPr>
  </w:p>
  <w:p w14:paraId="52A2FEDF" w14:textId="77777777" w:rsidR="008B7C60" w:rsidRDefault="008B7C60">
    <w:pPr>
      <w:pStyle w:val="Footer"/>
    </w:pPr>
  </w:p>
  <w:p w14:paraId="5218A500" w14:textId="77777777" w:rsidR="008B7C60" w:rsidRDefault="008B7C60">
    <w:pPr>
      <w:pStyle w:val="Footer"/>
    </w:pPr>
  </w:p>
  <w:p w14:paraId="167ED1BC" w14:textId="77777777" w:rsidR="008B7C60" w:rsidRDefault="008B7C60">
    <w:pPr>
      <w:pStyle w:val="Footer"/>
    </w:pPr>
  </w:p>
  <w:p w14:paraId="1A40DFE2" w14:textId="77777777" w:rsidR="008B7C60" w:rsidRDefault="008B7C60">
    <w:pPr>
      <w:pStyle w:val="Footer"/>
    </w:pPr>
  </w:p>
  <w:p w14:paraId="45D998A0" w14:textId="77777777" w:rsidR="008B7C60" w:rsidRDefault="008B7C60">
    <w:pPr>
      <w:pStyle w:val="Footer"/>
    </w:pPr>
  </w:p>
  <w:p w14:paraId="47C0FC74" w14:textId="77777777" w:rsidR="008B7C60" w:rsidRDefault="008B7C60">
    <w:pPr>
      <w:pStyle w:val="Footer"/>
    </w:pPr>
  </w:p>
  <w:p w14:paraId="51A1CF2C" w14:textId="77777777" w:rsidR="008B7C60" w:rsidRDefault="008B7C60">
    <w:pPr>
      <w:pStyle w:val="Footer"/>
    </w:pPr>
  </w:p>
  <w:p w14:paraId="4795AD71" w14:textId="4F3A8580" w:rsidR="008B7C60" w:rsidRDefault="008B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9C31" w14:textId="77777777" w:rsidR="00F93292" w:rsidRDefault="00F93292" w:rsidP="005A3008">
      <w:pPr>
        <w:spacing w:after="0"/>
      </w:pPr>
      <w:r>
        <w:separator/>
      </w:r>
    </w:p>
  </w:footnote>
  <w:footnote w:type="continuationSeparator" w:id="0">
    <w:p w14:paraId="0DE4D074" w14:textId="77777777" w:rsidR="00F93292" w:rsidRDefault="00F93292" w:rsidP="005A30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9ED5" w14:textId="77777777" w:rsidR="002633BE" w:rsidRDefault="002633BE">
    <w:pPr>
      <w:pStyle w:val="Header"/>
    </w:pPr>
    <w:r>
      <w:rPr>
        <w:noProof/>
      </w:rPr>
      <w:drawing>
        <wp:anchor distT="0" distB="0" distL="114300" distR="114300" simplePos="0" relativeHeight="251659264" behindDoc="1" locked="1" layoutInCell="1" allowOverlap="1" wp14:anchorId="2811172B" wp14:editId="3482A1EF">
          <wp:simplePos x="0" y="0"/>
          <wp:positionH relativeFrom="page">
            <wp:align>left</wp:align>
          </wp:positionH>
          <wp:positionV relativeFrom="page">
            <wp:align>top</wp:align>
          </wp:positionV>
          <wp:extent cx="7556400" cy="1015200"/>
          <wp:effectExtent l="0" t="0" r="63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6400" cy="10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25A" w14:textId="34230D2F" w:rsidR="002633BE" w:rsidRDefault="002633BE">
    <w:pPr>
      <w:pStyle w:val="Header"/>
    </w:pPr>
    <w:r>
      <w:rPr>
        <w:noProof/>
      </w:rPr>
      <w:drawing>
        <wp:anchor distT="0" distB="0" distL="114300" distR="114300" simplePos="0" relativeHeight="251660288" behindDoc="1" locked="0" layoutInCell="1" allowOverlap="0" wp14:anchorId="0AD10CBB" wp14:editId="7F71F014">
          <wp:simplePos x="0" y="0"/>
          <wp:positionH relativeFrom="page">
            <wp:posOffset>-19685</wp:posOffset>
          </wp:positionH>
          <wp:positionV relativeFrom="page">
            <wp:posOffset>0</wp:posOffset>
          </wp:positionV>
          <wp:extent cx="7591425" cy="10641965"/>
          <wp:effectExtent l="0" t="0" r="9525"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91425" cy="10641965"/>
                  </a:xfrm>
                  <a:prstGeom prst="rect">
                    <a:avLst/>
                  </a:prstGeom>
                </pic:spPr>
              </pic:pic>
            </a:graphicData>
          </a:graphic>
          <wp14:sizeRelH relativeFrom="margin">
            <wp14:pctWidth>0</wp14:pctWidth>
          </wp14:sizeRelH>
          <wp14:sizeRelV relativeFrom="margin">
            <wp14:pctHeight>0</wp14:pctHeight>
          </wp14:sizeRelV>
        </wp:anchor>
      </w:drawing>
    </w:r>
  </w:p>
  <w:p w14:paraId="1447793B" w14:textId="7DF9B756" w:rsidR="002633BE" w:rsidRDefault="002633BE">
    <w:pPr>
      <w:pStyle w:val="Header"/>
    </w:pPr>
  </w:p>
  <w:p w14:paraId="15027A71" w14:textId="2DAC5FDD" w:rsidR="002633BE" w:rsidRDefault="002633BE">
    <w:pPr>
      <w:pStyle w:val="Header"/>
    </w:pPr>
  </w:p>
  <w:p w14:paraId="1B2008C2" w14:textId="00C8EEA9" w:rsidR="002633BE" w:rsidRDefault="002633BE">
    <w:pPr>
      <w:pStyle w:val="Header"/>
    </w:pPr>
  </w:p>
  <w:p w14:paraId="36FCCDCC" w14:textId="09B2D671" w:rsidR="002633BE" w:rsidRDefault="002633BE">
    <w:pPr>
      <w:pStyle w:val="Header"/>
    </w:pPr>
  </w:p>
  <w:p w14:paraId="1B6FE45A" w14:textId="16B52CE3" w:rsidR="002633BE" w:rsidRDefault="002633BE">
    <w:pPr>
      <w:pStyle w:val="Header"/>
    </w:pPr>
  </w:p>
  <w:p w14:paraId="2E9810FC" w14:textId="77777777" w:rsidR="002633BE" w:rsidRDefault="002633BE">
    <w:pPr>
      <w:pStyle w:val="Header"/>
    </w:pPr>
  </w:p>
  <w:p w14:paraId="1AD0678B" w14:textId="77777777" w:rsidR="002633BE" w:rsidRDefault="002633BE">
    <w:pPr>
      <w:pStyle w:val="Header"/>
    </w:pPr>
  </w:p>
  <w:p w14:paraId="48210AB9" w14:textId="2E234FD7" w:rsidR="002633BE" w:rsidRDefault="002633BE">
    <w:pPr>
      <w:pStyle w:val="Header"/>
    </w:pPr>
  </w:p>
  <w:p w14:paraId="36A54322" w14:textId="77777777" w:rsidR="002633BE" w:rsidRDefault="002633BE">
    <w:pPr>
      <w:pStyle w:val="Header"/>
    </w:pPr>
  </w:p>
  <w:p w14:paraId="7D0D46B7" w14:textId="77777777" w:rsidR="002633BE" w:rsidRDefault="002633BE">
    <w:pPr>
      <w:pStyle w:val="Header"/>
    </w:pPr>
  </w:p>
  <w:p w14:paraId="015ED2BF" w14:textId="77777777" w:rsidR="002633BE" w:rsidRDefault="002633BE">
    <w:pPr>
      <w:pStyle w:val="Header"/>
    </w:pPr>
  </w:p>
  <w:p w14:paraId="2DC78B08" w14:textId="77777777" w:rsidR="002633BE" w:rsidRDefault="002633BE">
    <w:pPr>
      <w:pStyle w:val="Header"/>
    </w:pPr>
  </w:p>
  <w:p w14:paraId="5B2D7ABD" w14:textId="655912E0" w:rsidR="002633BE" w:rsidRDefault="00263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3BB2" w14:textId="77777777" w:rsidR="008B7C60" w:rsidRDefault="008B7C60">
    <w:pPr>
      <w:pStyle w:val="Header"/>
    </w:pPr>
    <w:r>
      <w:rPr>
        <w:noProof/>
      </w:rPr>
      <w:drawing>
        <wp:anchor distT="0" distB="0" distL="114300" distR="114300" simplePos="0" relativeHeight="251666432" behindDoc="1" locked="1" layoutInCell="1" allowOverlap="1" wp14:anchorId="27114EF8" wp14:editId="763E7D04">
          <wp:simplePos x="0" y="0"/>
          <wp:positionH relativeFrom="page">
            <wp:align>left</wp:align>
          </wp:positionH>
          <wp:positionV relativeFrom="page">
            <wp:align>top</wp:align>
          </wp:positionV>
          <wp:extent cx="7596000" cy="11232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96000" cy="11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4BDC" w14:textId="3517298A" w:rsidR="008B7C60" w:rsidRDefault="008B7C60">
    <w:pPr>
      <w:pStyle w:val="Header"/>
    </w:pPr>
  </w:p>
  <w:p w14:paraId="4B6910C3" w14:textId="77777777" w:rsidR="008B7C60" w:rsidRDefault="008B7C60" w:rsidP="00E5180F">
    <w:pPr>
      <w:pStyle w:val="Header"/>
      <w:ind w:firstLine="720"/>
    </w:pPr>
  </w:p>
  <w:p w14:paraId="18B4DA84" w14:textId="77777777" w:rsidR="008B7C60" w:rsidRDefault="008B7C60">
    <w:pPr>
      <w:pStyle w:val="Header"/>
    </w:pPr>
  </w:p>
  <w:p w14:paraId="6D2FACFA" w14:textId="77777777" w:rsidR="008B7C60" w:rsidRDefault="008B7C60">
    <w:pPr>
      <w:pStyle w:val="Header"/>
    </w:pPr>
  </w:p>
  <w:p w14:paraId="607E9C11" w14:textId="13205D9D" w:rsidR="008B7C60" w:rsidRDefault="008B7C60">
    <w:pPr>
      <w:pStyle w:val="Header"/>
    </w:pPr>
    <w:r>
      <w:rPr>
        <w:noProof/>
      </w:rPr>
      <mc:AlternateContent>
        <mc:Choice Requires="wps">
          <w:drawing>
            <wp:anchor distT="0" distB="0" distL="114300" distR="114300" simplePos="0" relativeHeight="251664384" behindDoc="0" locked="0" layoutInCell="1" allowOverlap="1" wp14:anchorId="4F4CE29D" wp14:editId="539E7DDF">
              <wp:simplePos x="0" y="0"/>
              <wp:positionH relativeFrom="column">
                <wp:posOffset>69215</wp:posOffset>
              </wp:positionH>
              <wp:positionV relativeFrom="paragraph">
                <wp:posOffset>151765</wp:posOffset>
              </wp:positionV>
              <wp:extent cx="1638300" cy="901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38300" cy="901700"/>
                      </a:xfrm>
                      <a:prstGeom prst="rect">
                        <a:avLst/>
                      </a:prstGeom>
                      <a:noFill/>
                      <a:ln w="6350">
                        <a:noFill/>
                      </a:ln>
                    </wps:spPr>
                    <wps:txbx>
                      <w:txbxContent>
                        <w:p w14:paraId="228E2195" w14:textId="77777777" w:rsidR="008B7C60" w:rsidRPr="00D904FD" w:rsidRDefault="008B7C60" w:rsidP="00D904FD">
                          <w:pPr>
                            <w:pStyle w:val="Guidekin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CE29D" id="_x0000_t202" coordsize="21600,21600" o:spt="202" path="m,l,21600r21600,l21600,xe">
              <v:stroke joinstyle="miter"/>
              <v:path gradientshapeok="t" o:connecttype="rect"/>
            </v:shapetype>
            <v:shape id="Text Box 20" o:spid="_x0000_s1028" type="#_x0000_t202" style="position:absolute;margin-left:5.45pt;margin-top:11.95pt;width:129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" filled="f" stroked="f" strokeweight=".5pt">
              <v:textbox inset="0,0,0,0">
                <w:txbxContent>
                  <w:p w14:paraId="228E2195" w14:textId="77777777" w:rsidR="008B7C60" w:rsidRPr="00D904FD" w:rsidRDefault="008B7C60" w:rsidP="00D904FD">
                    <w:pPr>
                      <w:pStyle w:val="Guidekind"/>
                    </w:pPr>
                  </w:p>
                </w:txbxContent>
              </v:textbox>
            </v:shape>
          </w:pict>
        </mc:Fallback>
      </mc:AlternateContent>
    </w:r>
  </w:p>
  <w:p w14:paraId="7436292A" w14:textId="77777777" w:rsidR="008B7C60" w:rsidRDefault="008B7C60">
    <w:pPr>
      <w:pStyle w:val="Header"/>
    </w:pPr>
  </w:p>
  <w:p w14:paraId="5CD62D29" w14:textId="77777777" w:rsidR="008B7C60" w:rsidRDefault="008B7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A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941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50CA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784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0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48F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4475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AA4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2AF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4E6F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943"/>
    <w:multiLevelType w:val="hybridMultilevel"/>
    <w:tmpl w:val="6A50F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3F7AE3"/>
    <w:multiLevelType w:val="hybridMultilevel"/>
    <w:tmpl w:val="7868D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D448E5"/>
    <w:multiLevelType w:val="multilevel"/>
    <w:tmpl w:val="87F6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96A61"/>
    <w:multiLevelType w:val="hybridMultilevel"/>
    <w:tmpl w:val="CE5C2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B85798"/>
    <w:multiLevelType w:val="hybridMultilevel"/>
    <w:tmpl w:val="3A86A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041970"/>
    <w:multiLevelType w:val="hybridMultilevel"/>
    <w:tmpl w:val="A8D0B4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93B1B77"/>
    <w:multiLevelType w:val="hybridMultilevel"/>
    <w:tmpl w:val="43BCF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31068F"/>
    <w:multiLevelType w:val="hybridMultilevel"/>
    <w:tmpl w:val="581C8D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816BFD"/>
    <w:multiLevelType w:val="hybridMultilevel"/>
    <w:tmpl w:val="204C4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4146C9"/>
    <w:multiLevelType w:val="hybridMultilevel"/>
    <w:tmpl w:val="C6263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D6C05"/>
    <w:multiLevelType w:val="hybridMultilevel"/>
    <w:tmpl w:val="A630E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A94650"/>
    <w:multiLevelType w:val="hybridMultilevel"/>
    <w:tmpl w:val="4252D176"/>
    <w:lvl w:ilvl="0" w:tplc="530EA8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8A21CE"/>
    <w:multiLevelType w:val="hybridMultilevel"/>
    <w:tmpl w:val="43928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903547"/>
    <w:multiLevelType w:val="hybridMultilevel"/>
    <w:tmpl w:val="32CAE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8242974">
    <w:abstractNumId w:val="11"/>
  </w:num>
  <w:num w:numId="2" w16cid:durableId="748968134">
    <w:abstractNumId w:val="22"/>
  </w:num>
  <w:num w:numId="3" w16cid:durableId="1748501033">
    <w:abstractNumId w:val="21"/>
  </w:num>
  <w:num w:numId="4" w16cid:durableId="1040126394">
    <w:abstractNumId w:val="12"/>
  </w:num>
  <w:num w:numId="5" w16cid:durableId="25763937">
    <w:abstractNumId w:val="0"/>
  </w:num>
  <w:num w:numId="6" w16cid:durableId="319433422">
    <w:abstractNumId w:val="1"/>
  </w:num>
  <w:num w:numId="7" w16cid:durableId="15235738">
    <w:abstractNumId w:val="2"/>
  </w:num>
  <w:num w:numId="8" w16cid:durableId="1986621906">
    <w:abstractNumId w:val="3"/>
  </w:num>
  <w:num w:numId="9" w16cid:durableId="1922832197">
    <w:abstractNumId w:val="8"/>
  </w:num>
  <w:num w:numId="10" w16cid:durableId="2135639029">
    <w:abstractNumId w:val="4"/>
  </w:num>
  <w:num w:numId="11" w16cid:durableId="1995064751">
    <w:abstractNumId w:val="5"/>
  </w:num>
  <w:num w:numId="12" w16cid:durableId="1180851097">
    <w:abstractNumId w:val="6"/>
  </w:num>
  <w:num w:numId="13" w16cid:durableId="1295716531">
    <w:abstractNumId w:val="7"/>
  </w:num>
  <w:num w:numId="14" w16cid:durableId="1245797755">
    <w:abstractNumId w:val="9"/>
  </w:num>
  <w:num w:numId="15" w16cid:durableId="533469095">
    <w:abstractNumId w:val="23"/>
  </w:num>
  <w:num w:numId="16" w16cid:durableId="493373840">
    <w:abstractNumId w:val="13"/>
  </w:num>
  <w:num w:numId="17" w16cid:durableId="1161119442">
    <w:abstractNumId w:val="16"/>
  </w:num>
  <w:num w:numId="18" w16cid:durableId="818769604">
    <w:abstractNumId w:val="19"/>
  </w:num>
  <w:num w:numId="19" w16cid:durableId="2124834725">
    <w:abstractNumId w:val="20"/>
  </w:num>
  <w:num w:numId="20" w16cid:durableId="1778207416">
    <w:abstractNumId w:val="18"/>
  </w:num>
  <w:num w:numId="21" w16cid:durableId="1160729754">
    <w:abstractNumId w:val="14"/>
  </w:num>
  <w:num w:numId="22" w16cid:durableId="1906791043">
    <w:abstractNumId w:val="15"/>
  </w:num>
  <w:num w:numId="23" w16cid:durableId="1957635381">
    <w:abstractNumId w:val="10"/>
  </w:num>
  <w:num w:numId="24" w16cid:durableId="2084452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08"/>
    <w:rsid w:val="00000126"/>
    <w:rsid w:val="00034809"/>
    <w:rsid w:val="000351DF"/>
    <w:rsid w:val="00053AFB"/>
    <w:rsid w:val="00054C18"/>
    <w:rsid w:val="00060A72"/>
    <w:rsid w:val="00080D95"/>
    <w:rsid w:val="00083BE0"/>
    <w:rsid w:val="000B34B8"/>
    <w:rsid w:val="000B7582"/>
    <w:rsid w:val="000E605C"/>
    <w:rsid w:val="000F238F"/>
    <w:rsid w:val="0012269B"/>
    <w:rsid w:val="00134984"/>
    <w:rsid w:val="00151D1F"/>
    <w:rsid w:val="00162EBB"/>
    <w:rsid w:val="0017640D"/>
    <w:rsid w:val="001839A7"/>
    <w:rsid w:val="001A2B6A"/>
    <w:rsid w:val="001A40AC"/>
    <w:rsid w:val="001B00EB"/>
    <w:rsid w:val="001C6729"/>
    <w:rsid w:val="00206B01"/>
    <w:rsid w:val="00233CD1"/>
    <w:rsid w:val="002350A1"/>
    <w:rsid w:val="002442A2"/>
    <w:rsid w:val="00256841"/>
    <w:rsid w:val="00256A9C"/>
    <w:rsid w:val="002633BE"/>
    <w:rsid w:val="00271522"/>
    <w:rsid w:val="002743A8"/>
    <w:rsid w:val="00290C72"/>
    <w:rsid w:val="00292E5A"/>
    <w:rsid w:val="00294BAF"/>
    <w:rsid w:val="0029778E"/>
    <w:rsid w:val="002A1BA9"/>
    <w:rsid w:val="002A6F79"/>
    <w:rsid w:val="002B7D91"/>
    <w:rsid w:val="002C19F9"/>
    <w:rsid w:val="002C239E"/>
    <w:rsid w:val="002C6CE6"/>
    <w:rsid w:val="002F01FC"/>
    <w:rsid w:val="00335526"/>
    <w:rsid w:val="003470FF"/>
    <w:rsid w:val="003519B7"/>
    <w:rsid w:val="003911D0"/>
    <w:rsid w:val="00397098"/>
    <w:rsid w:val="003A5ED1"/>
    <w:rsid w:val="003A6D51"/>
    <w:rsid w:val="003A7690"/>
    <w:rsid w:val="003B49C0"/>
    <w:rsid w:val="003C3859"/>
    <w:rsid w:val="003C667F"/>
    <w:rsid w:val="003D56CE"/>
    <w:rsid w:val="003F300C"/>
    <w:rsid w:val="003F610C"/>
    <w:rsid w:val="004023D2"/>
    <w:rsid w:val="00403F58"/>
    <w:rsid w:val="00413C6C"/>
    <w:rsid w:val="00422D90"/>
    <w:rsid w:val="00425D06"/>
    <w:rsid w:val="0043039E"/>
    <w:rsid w:val="004345F8"/>
    <w:rsid w:val="004647BD"/>
    <w:rsid w:val="0047371C"/>
    <w:rsid w:val="004A0CE4"/>
    <w:rsid w:val="004C7E25"/>
    <w:rsid w:val="00516AAD"/>
    <w:rsid w:val="0052476F"/>
    <w:rsid w:val="005429D2"/>
    <w:rsid w:val="00556627"/>
    <w:rsid w:val="00562192"/>
    <w:rsid w:val="0056595B"/>
    <w:rsid w:val="00592A91"/>
    <w:rsid w:val="005A2FA7"/>
    <w:rsid w:val="005A3008"/>
    <w:rsid w:val="005C2DC6"/>
    <w:rsid w:val="005E52E9"/>
    <w:rsid w:val="0062143D"/>
    <w:rsid w:val="00642D1A"/>
    <w:rsid w:val="00673B78"/>
    <w:rsid w:val="0068256B"/>
    <w:rsid w:val="00691243"/>
    <w:rsid w:val="0069777E"/>
    <w:rsid w:val="006A0985"/>
    <w:rsid w:val="006A27A5"/>
    <w:rsid w:val="006A3795"/>
    <w:rsid w:val="006B4F83"/>
    <w:rsid w:val="006C64C0"/>
    <w:rsid w:val="006D65C2"/>
    <w:rsid w:val="006E396E"/>
    <w:rsid w:val="00705FE5"/>
    <w:rsid w:val="00711520"/>
    <w:rsid w:val="007133BE"/>
    <w:rsid w:val="0072089A"/>
    <w:rsid w:val="00734452"/>
    <w:rsid w:val="007478AC"/>
    <w:rsid w:val="00762359"/>
    <w:rsid w:val="00765DFE"/>
    <w:rsid w:val="00766A57"/>
    <w:rsid w:val="007D129C"/>
    <w:rsid w:val="007E5A65"/>
    <w:rsid w:val="00826291"/>
    <w:rsid w:val="008262BD"/>
    <w:rsid w:val="0082667D"/>
    <w:rsid w:val="008451C8"/>
    <w:rsid w:val="00846CF9"/>
    <w:rsid w:val="008559EA"/>
    <w:rsid w:val="008941DC"/>
    <w:rsid w:val="008A53EE"/>
    <w:rsid w:val="008A692E"/>
    <w:rsid w:val="008B3DAF"/>
    <w:rsid w:val="008B7C60"/>
    <w:rsid w:val="008C1A26"/>
    <w:rsid w:val="008D11BB"/>
    <w:rsid w:val="008D30DD"/>
    <w:rsid w:val="008E79D9"/>
    <w:rsid w:val="00912678"/>
    <w:rsid w:val="00914E66"/>
    <w:rsid w:val="00936FF8"/>
    <w:rsid w:val="00962600"/>
    <w:rsid w:val="00973F99"/>
    <w:rsid w:val="00997582"/>
    <w:rsid w:val="009B16AE"/>
    <w:rsid w:val="009C1C7D"/>
    <w:rsid w:val="009C6C7F"/>
    <w:rsid w:val="009E0E3A"/>
    <w:rsid w:val="009F67D3"/>
    <w:rsid w:val="00A14B57"/>
    <w:rsid w:val="00A347F8"/>
    <w:rsid w:val="00A35B51"/>
    <w:rsid w:val="00A4072E"/>
    <w:rsid w:val="00A65716"/>
    <w:rsid w:val="00A81A41"/>
    <w:rsid w:val="00A82B89"/>
    <w:rsid w:val="00A94740"/>
    <w:rsid w:val="00AC0FFB"/>
    <w:rsid w:val="00AD2464"/>
    <w:rsid w:val="00AD7E06"/>
    <w:rsid w:val="00B05435"/>
    <w:rsid w:val="00B20FEA"/>
    <w:rsid w:val="00B56339"/>
    <w:rsid w:val="00B9201C"/>
    <w:rsid w:val="00B9274C"/>
    <w:rsid w:val="00BB1239"/>
    <w:rsid w:val="00BB5469"/>
    <w:rsid w:val="00BD756F"/>
    <w:rsid w:val="00C02BB8"/>
    <w:rsid w:val="00C03923"/>
    <w:rsid w:val="00C175D7"/>
    <w:rsid w:val="00C4174E"/>
    <w:rsid w:val="00C827C2"/>
    <w:rsid w:val="00C96E33"/>
    <w:rsid w:val="00CD2B91"/>
    <w:rsid w:val="00CF5598"/>
    <w:rsid w:val="00D32D35"/>
    <w:rsid w:val="00D551F0"/>
    <w:rsid w:val="00D67B74"/>
    <w:rsid w:val="00D7110B"/>
    <w:rsid w:val="00D7332D"/>
    <w:rsid w:val="00D85CC6"/>
    <w:rsid w:val="00D904FD"/>
    <w:rsid w:val="00DB4315"/>
    <w:rsid w:val="00DB61B8"/>
    <w:rsid w:val="00DC3D61"/>
    <w:rsid w:val="00DC55B8"/>
    <w:rsid w:val="00DD4EF4"/>
    <w:rsid w:val="00E04726"/>
    <w:rsid w:val="00E23A6E"/>
    <w:rsid w:val="00E5180F"/>
    <w:rsid w:val="00E9010B"/>
    <w:rsid w:val="00E93B96"/>
    <w:rsid w:val="00EA041C"/>
    <w:rsid w:val="00EC17B0"/>
    <w:rsid w:val="00ED6CE0"/>
    <w:rsid w:val="00EF0F2F"/>
    <w:rsid w:val="00F0679E"/>
    <w:rsid w:val="00F2530A"/>
    <w:rsid w:val="00F353DB"/>
    <w:rsid w:val="00F53235"/>
    <w:rsid w:val="00F91A7F"/>
    <w:rsid w:val="00F93292"/>
    <w:rsid w:val="00FB2121"/>
    <w:rsid w:val="00FB4143"/>
    <w:rsid w:val="00FB4A4D"/>
    <w:rsid w:val="00FC0B48"/>
    <w:rsid w:val="00FE1A94"/>
    <w:rsid w:val="00FF0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9EEF9"/>
  <w15:chartTrackingRefBased/>
  <w15:docId w15:val="{EB869CEA-36B7-6B40-B72A-35539B16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DD"/>
    <w:pPr>
      <w:suppressAutoHyphens/>
      <w:spacing w:after="120"/>
    </w:pPr>
    <w:rPr>
      <w:rFonts w:ascii="Arial" w:hAnsi="Arial"/>
      <w:sz w:val="22"/>
    </w:rPr>
  </w:style>
  <w:style w:type="paragraph" w:styleId="Heading1">
    <w:name w:val="heading 1"/>
    <w:basedOn w:val="Normal"/>
    <w:next w:val="Normal"/>
    <w:link w:val="Heading1Char"/>
    <w:uiPriority w:val="9"/>
    <w:qFormat/>
    <w:rsid w:val="00413C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008"/>
    <w:pPr>
      <w:tabs>
        <w:tab w:val="center" w:pos="4680"/>
        <w:tab w:val="right" w:pos="9360"/>
      </w:tabs>
      <w:spacing w:after="0"/>
    </w:pPr>
  </w:style>
  <w:style w:type="character" w:customStyle="1" w:styleId="HeaderChar">
    <w:name w:val="Header Char"/>
    <w:basedOn w:val="DefaultParagraphFont"/>
    <w:link w:val="Header"/>
    <w:uiPriority w:val="99"/>
    <w:rsid w:val="005A3008"/>
    <w:rPr>
      <w:rFonts w:ascii="Arial" w:hAnsi="Arial"/>
      <w:sz w:val="22"/>
    </w:rPr>
  </w:style>
  <w:style w:type="paragraph" w:styleId="Footer">
    <w:name w:val="footer"/>
    <w:basedOn w:val="Normal"/>
    <w:link w:val="FooterChar"/>
    <w:uiPriority w:val="99"/>
    <w:unhideWhenUsed/>
    <w:rsid w:val="005A3008"/>
    <w:pPr>
      <w:tabs>
        <w:tab w:val="center" w:pos="4680"/>
        <w:tab w:val="right" w:pos="9360"/>
      </w:tabs>
      <w:spacing w:after="0"/>
    </w:pPr>
  </w:style>
  <w:style w:type="character" w:customStyle="1" w:styleId="FooterChar">
    <w:name w:val="Footer Char"/>
    <w:basedOn w:val="DefaultParagraphFont"/>
    <w:link w:val="Footer"/>
    <w:uiPriority w:val="99"/>
    <w:rsid w:val="005A3008"/>
    <w:rPr>
      <w:rFonts w:ascii="Arial" w:hAnsi="Arial"/>
      <w:sz w:val="22"/>
    </w:rPr>
  </w:style>
  <w:style w:type="paragraph" w:styleId="Title">
    <w:name w:val="Title"/>
    <w:basedOn w:val="Normal"/>
    <w:next w:val="Normal"/>
    <w:link w:val="TitleChar"/>
    <w:uiPriority w:val="10"/>
    <w:qFormat/>
    <w:rsid w:val="008D30DD"/>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8D30DD"/>
    <w:rPr>
      <w:rFonts w:ascii="Arial" w:eastAsiaTheme="majorEastAsia" w:hAnsi="Arial" w:cstheme="majorBidi"/>
      <w:b/>
      <w:spacing w:val="-10"/>
      <w:kern w:val="28"/>
      <w:sz w:val="36"/>
      <w:szCs w:val="56"/>
    </w:rPr>
  </w:style>
  <w:style w:type="paragraph" w:customStyle="1" w:styleId="Intropara">
    <w:name w:val="Intro para"/>
    <w:basedOn w:val="Normal"/>
    <w:qFormat/>
    <w:rsid w:val="002442A2"/>
    <w:rPr>
      <w:color w:val="C01C7C"/>
      <w:sz w:val="24"/>
    </w:rPr>
  </w:style>
  <w:style w:type="paragraph" w:customStyle="1" w:styleId="Guidekind">
    <w:name w:val="Guide kind"/>
    <w:basedOn w:val="Normal"/>
    <w:qFormat/>
    <w:rsid w:val="00D904FD"/>
    <w:pPr>
      <w:spacing w:after="60"/>
    </w:pPr>
    <w:rPr>
      <w:b/>
      <w:bCs/>
      <w:color w:val="FFFFFF" w:themeColor="background1"/>
    </w:rPr>
  </w:style>
  <w:style w:type="paragraph" w:customStyle="1" w:styleId="Subheading-body">
    <w:name w:val="Subheading - body"/>
    <w:basedOn w:val="Normal"/>
    <w:qFormat/>
    <w:rsid w:val="002442A2"/>
    <w:pPr>
      <w:spacing w:after="0"/>
    </w:pPr>
    <w:rPr>
      <w:b/>
      <w:bCs/>
      <w:sz w:val="26"/>
    </w:rPr>
  </w:style>
  <w:style w:type="paragraph" w:customStyle="1" w:styleId="Addresses">
    <w:name w:val="Addresses"/>
    <w:basedOn w:val="Normal"/>
    <w:qFormat/>
    <w:rsid w:val="006A0985"/>
    <w:pPr>
      <w:spacing w:after="60"/>
    </w:pPr>
  </w:style>
  <w:style w:type="paragraph" w:styleId="BalloonText">
    <w:name w:val="Balloon Text"/>
    <w:basedOn w:val="Normal"/>
    <w:link w:val="BalloonTextChar"/>
    <w:uiPriority w:val="99"/>
    <w:unhideWhenUsed/>
    <w:rsid w:val="00B054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B05435"/>
    <w:rPr>
      <w:rFonts w:ascii="Segoe UI" w:hAnsi="Segoe UI" w:cs="Segoe UI"/>
      <w:sz w:val="18"/>
      <w:szCs w:val="18"/>
    </w:rPr>
  </w:style>
  <w:style w:type="character" w:styleId="CommentReference">
    <w:name w:val="annotation reference"/>
    <w:basedOn w:val="DefaultParagraphFont"/>
    <w:uiPriority w:val="99"/>
    <w:semiHidden/>
    <w:unhideWhenUsed/>
    <w:rsid w:val="00B05435"/>
    <w:rPr>
      <w:sz w:val="16"/>
      <w:szCs w:val="16"/>
    </w:rPr>
  </w:style>
  <w:style w:type="paragraph" w:styleId="CommentText">
    <w:name w:val="annotation text"/>
    <w:basedOn w:val="Normal"/>
    <w:link w:val="CommentTextChar"/>
    <w:uiPriority w:val="99"/>
    <w:semiHidden/>
    <w:unhideWhenUsed/>
    <w:rsid w:val="00B05435"/>
    <w:rPr>
      <w:sz w:val="20"/>
      <w:szCs w:val="20"/>
    </w:rPr>
  </w:style>
  <w:style w:type="character" w:customStyle="1" w:styleId="CommentTextChar">
    <w:name w:val="Comment Text Char"/>
    <w:basedOn w:val="DefaultParagraphFont"/>
    <w:link w:val="CommentText"/>
    <w:uiPriority w:val="99"/>
    <w:semiHidden/>
    <w:rsid w:val="00B054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5435"/>
    <w:rPr>
      <w:b/>
      <w:bCs/>
    </w:rPr>
  </w:style>
  <w:style w:type="character" w:customStyle="1" w:styleId="CommentSubjectChar">
    <w:name w:val="Comment Subject Char"/>
    <w:basedOn w:val="CommentTextChar"/>
    <w:link w:val="CommentSubject"/>
    <w:uiPriority w:val="99"/>
    <w:semiHidden/>
    <w:rsid w:val="00B05435"/>
    <w:rPr>
      <w:rFonts w:ascii="Arial" w:hAnsi="Arial"/>
      <w:b/>
      <w:bCs/>
      <w:sz w:val="20"/>
      <w:szCs w:val="20"/>
    </w:rPr>
  </w:style>
  <w:style w:type="paragraph" w:styleId="ListParagraph">
    <w:name w:val="List Paragraph"/>
    <w:basedOn w:val="Normal"/>
    <w:uiPriority w:val="34"/>
    <w:qFormat/>
    <w:rsid w:val="007D129C"/>
    <w:pPr>
      <w:ind w:left="720"/>
      <w:contextualSpacing/>
    </w:pPr>
  </w:style>
  <w:style w:type="paragraph" w:customStyle="1" w:styleId="DAHeading1">
    <w:name w:val="DA Heading 1"/>
    <w:qFormat/>
    <w:rsid w:val="00425D06"/>
    <w:pPr>
      <w:spacing w:before="120" w:after="240"/>
    </w:pPr>
    <w:rPr>
      <w:rFonts w:ascii="Arial" w:hAnsi="Arial"/>
      <w:b/>
      <w:bCs/>
      <w:color w:val="ED7D31" w:themeColor="accent2"/>
      <w:spacing w:val="-4"/>
      <w:sz w:val="40"/>
      <w:szCs w:val="36"/>
    </w:rPr>
  </w:style>
  <w:style w:type="paragraph" w:customStyle="1" w:styleId="DAsubheading">
    <w:name w:val="DA sub heading"/>
    <w:basedOn w:val="Guidekind"/>
    <w:qFormat/>
    <w:rsid w:val="0082667D"/>
    <w:pPr>
      <w:jc w:val="center"/>
    </w:pPr>
    <w:rPr>
      <w:sz w:val="56"/>
      <w:szCs w:val="56"/>
    </w:rPr>
  </w:style>
  <w:style w:type="paragraph" w:customStyle="1" w:styleId="DAheading2">
    <w:name w:val="DA heading 2"/>
    <w:qFormat/>
    <w:rsid w:val="003C667F"/>
    <w:pPr>
      <w:spacing w:after="120"/>
    </w:pPr>
    <w:rPr>
      <w:rFonts w:ascii="Arial" w:hAnsi="Arial"/>
      <w:b/>
      <w:bCs/>
      <w:color w:val="ED7D31" w:themeColor="accent2"/>
      <w:spacing w:val="-4"/>
      <w:sz w:val="32"/>
      <w:szCs w:val="32"/>
    </w:rPr>
  </w:style>
  <w:style w:type="paragraph" w:customStyle="1" w:styleId="DAcovertitle">
    <w:name w:val="DA cover title"/>
    <w:basedOn w:val="Guidekind"/>
    <w:qFormat/>
    <w:rsid w:val="0056595B"/>
    <w:pPr>
      <w:jc w:val="center"/>
    </w:pPr>
    <w:rPr>
      <w:sz w:val="72"/>
      <w:szCs w:val="72"/>
    </w:rPr>
  </w:style>
  <w:style w:type="paragraph" w:customStyle="1" w:styleId="DAHeading3">
    <w:name w:val="DA Heading 3"/>
    <w:basedOn w:val="Subheading-body"/>
    <w:qFormat/>
    <w:rsid w:val="006E396E"/>
    <w:pPr>
      <w:spacing w:afterLines="60" w:after="144"/>
      <w:jc w:val="both"/>
    </w:pPr>
    <w:rPr>
      <w:sz w:val="24"/>
    </w:rPr>
  </w:style>
  <w:style w:type="paragraph" w:customStyle="1" w:styleId="DAbodycopy">
    <w:name w:val="DA body copy"/>
    <w:basedOn w:val="Normal"/>
    <w:qFormat/>
    <w:rsid w:val="00C827C2"/>
    <w:pPr>
      <w:spacing w:after="0"/>
      <w:jc w:val="both"/>
    </w:pPr>
    <w:rPr>
      <w:rFonts w:eastAsia="Times New Roman" w:cs="Arial"/>
      <w:color w:val="212529"/>
      <w:szCs w:val="22"/>
      <w:lang w:val="en" w:eastAsia="en-AU"/>
    </w:rPr>
  </w:style>
  <w:style w:type="character" w:styleId="PageNumber">
    <w:name w:val="page number"/>
    <w:basedOn w:val="DefaultParagraphFont"/>
    <w:uiPriority w:val="99"/>
    <w:semiHidden/>
    <w:unhideWhenUsed/>
    <w:rsid w:val="00766A57"/>
  </w:style>
  <w:style w:type="character" w:customStyle="1" w:styleId="Heading1Char">
    <w:name w:val="Heading 1 Char"/>
    <w:basedOn w:val="DefaultParagraphFont"/>
    <w:link w:val="Heading1"/>
    <w:uiPriority w:val="9"/>
    <w:rsid w:val="00413C6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13C6C"/>
    <w:pPr>
      <w:suppressAutoHyphens w:val="0"/>
      <w:spacing w:line="259" w:lineRule="auto"/>
      <w:outlineLvl w:val="9"/>
    </w:pPr>
    <w:rPr>
      <w:lang w:val="en-US"/>
    </w:rPr>
  </w:style>
  <w:style w:type="paragraph" w:styleId="BodyText">
    <w:name w:val="Body Text"/>
    <w:basedOn w:val="Normal"/>
    <w:link w:val="BodyTextChar"/>
    <w:uiPriority w:val="1"/>
    <w:qFormat/>
    <w:rsid w:val="00962600"/>
    <w:pPr>
      <w:widowControl w:val="0"/>
      <w:suppressAutoHyphens w:val="0"/>
      <w:spacing w:after="0"/>
      <w:ind w:left="112"/>
    </w:pPr>
    <w:rPr>
      <w:rFonts w:eastAsia="Arial"/>
      <w:sz w:val="20"/>
      <w:szCs w:val="20"/>
      <w:lang w:val="en-US"/>
    </w:rPr>
  </w:style>
  <w:style w:type="character" w:customStyle="1" w:styleId="BodyTextChar">
    <w:name w:val="Body Text Char"/>
    <w:basedOn w:val="DefaultParagraphFont"/>
    <w:link w:val="BodyText"/>
    <w:uiPriority w:val="1"/>
    <w:rsid w:val="00962600"/>
    <w:rPr>
      <w:rFonts w:ascii="Arial" w:eastAsia="Arial" w:hAnsi="Arial"/>
      <w:sz w:val="20"/>
      <w:szCs w:val="20"/>
      <w:lang w:val="en-US"/>
    </w:rPr>
  </w:style>
  <w:style w:type="paragraph" w:customStyle="1" w:styleId="TableText-TBL-BR-2-TBL-BR-1-TBL-BR-2-TBL-BR-2-TBL-BR-2-TBL-BR-2-TBL-BR-2-TBL-BR-2-TBL-BR-2-TBL-BR-2-TBL-BR-2-TBL-BR-2-TBL-BR-2-TBL-BR-2-TBL-BR-2-TBL-BR-2-TBL-BR-2">
    <w:name w:val="TableText-TBL-BR-2-TBL-BR-1-TBL-BR-2-TBL-BR-2-TBL-BR-2-TBL-BR-2-TBL-BR-2-TBL-BR-2-TBL-BR-2-TBL-BR-2-TBL-BR-2-TBL-BR-2-TBL-BR-2-TBL-BR-2-TBL-BR-2-TBL-BR-2-TBL-BR-2"/>
    <w:rsid w:val="00562192"/>
    <w:pPr>
      <w:spacing w:before="120" w:after="120" w:line="259" w:lineRule="auto"/>
      <w:ind w:left="108" w:right="57"/>
    </w:pPr>
    <w:rPr>
      <w:rFonts w:ascii="Arial" w:hAnsi="Arial"/>
      <w:sz w:val="22"/>
      <w:szCs w:val="22"/>
    </w:rPr>
  </w:style>
  <w:style w:type="paragraph" w:styleId="TOC1">
    <w:name w:val="toc 1"/>
    <w:basedOn w:val="Normal"/>
    <w:next w:val="Normal"/>
    <w:autoRedefine/>
    <w:uiPriority w:val="39"/>
    <w:unhideWhenUsed/>
    <w:rsid w:val="00A4072E"/>
    <w:pPr>
      <w:spacing w:after="100"/>
    </w:pPr>
  </w:style>
  <w:style w:type="character" w:styleId="Hyperlink">
    <w:name w:val="Hyperlink"/>
    <w:basedOn w:val="DefaultParagraphFont"/>
    <w:uiPriority w:val="99"/>
    <w:unhideWhenUsed/>
    <w:rsid w:val="00A40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7920">
      <w:bodyDiv w:val="1"/>
      <w:marLeft w:val="0"/>
      <w:marRight w:val="0"/>
      <w:marTop w:val="0"/>
      <w:marBottom w:val="0"/>
      <w:divBdr>
        <w:top w:val="none" w:sz="0" w:space="0" w:color="auto"/>
        <w:left w:val="none" w:sz="0" w:space="0" w:color="auto"/>
        <w:bottom w:val="none" w:sz="0" w:space="0" w:color="auto"/>
        <w:right w:val="none" w:sz="0" w:space="0" w:color="auto"/>
      </w:divBdr>
      <w:divsChild>
        <w:div w:id="766384824">
          <w:marLeft w:val="0"/>
          <w:marRight w:val="0"/>
          <w:marTop w:val="0"/>
          <w:marBottom w:val="0"/>
          <w:divBdr>
            <w:top w:val="none" w:sz="0" w:space="0" w:color="auto"/>
            <w:left w:val="none" w:sz="0" w:space="0" w:color="auto"/>
            <w:bottom w:val="none" w:sz="0" w:space="0" w:color="auto"/>
            <w:right w:val="none" w:sz="0" w:space="0" w:color="auto"/>
          </w:divBdr>
          <w:divsChild>
            <w:div w:id="466971189">
              <w:marLeft w:val="0"/>
              <w:marRight w:val="0"/>
              <w:marTop w:val="0"/>
              <w:marBottom w:val="0"/>
              <w:divBdr>
                <w:top w:val="none" w:sz="0" w:space="0" w:color="auto"/>
                <w:left w:val="none" w:sz="0" w:space="0" w:color="auto"/>
                <w:bottom w:val="none" w:sz="0" w:space="0" w:color="auto"/>
                <w:right w:val="none" w:sz="0" w:space="0" w:color="auto"/>
              </w:divBdr>
              <w:divsChild>
                <w:div w:id="1167593400">
                  <w:marLeft w:val="-375"/>
                  <w:marRight w:val="-375"/>
                  <w:marTop w:val="0"/>
                  <w:marBottom w:val="0"/>
                  <w:divBdr>
                    <w:top w:val="none" w:sz="0" w:space="0" w:color="auto"/>
                    <w:left w:val="none" w:sz="0" w:space="0" w:color="auto"/>
                    <w:bottom w:val="none" w:sz="0" w:space="0" w:color="auto"/>
                    <w:right w:val="none" w:sz="0" w:space="0" w:color="auto"/>
                  </w:divBdr>
                  <w:divsChild>
                    <w:div w:id="13151791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oter3.xml" Type="http://schemas.openxmlformats.org/officeDocument/2006/relationships/footer"/>
<Relationship Id="rId13" Target="https://www.legislation.qld.gov.au/LEGISLTN/CURRENT/C/ChildProtectA99.pdf" TargetMode="External" Type="http://schemas.openxmlformats.org/officeDocument/2006/relationships/hyperlink"/>
<Relationship Id="rId14" Target="header3.xml" Type="http://schemas.openxmlformats.org/officeDocument/2006/relationships/header"/>
<Relationship Id="rId15" Target="footer4.xml" Type="http://schemas.openxmlformats.org/officeDocument/2006/relationships/footer"/>
<Relationship Id="rId16" Target="header4.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_rels/header3.xml.rels><?xml version="1.0" encoding="UTF-8" standalone="yes"?>
<Relationships xmlns="http://schemas.openxmlformats.org/package/2006/relationships">
<Relationship Id="rId1" Target="media/image3.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1FE4-F275-4E33-8CB4-5B3F53AF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1550</Words>
  <Characters>8838</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2023-12-04T23:50:00Z</dcterms:created>
  <dc:creator>Queensland Government</dc:creator>
  <cp:keywords>delegated, authority, brokerage, funding, making decisions our way,</cp:keywords>
  <cp:lastModifiedBy>Jared Hutchison</cp:lastModifiedBy>
  <cp:lastPrinted>2023-12-06T02:04:00Z</cp:lastPrinted>
  <dcterms:modified xsi:type="dcterms:W3CDTF">2024-01-11T06:02:00Z</dcterms:modified>
  <cp:revision>15</cp:revision>
  <dc:subject>investment and commissioning</dc:subject>
  <dc:title>Making decisions our way-DA - Brokerage funding</dc:title>
</cp:coreProperties>
</file>