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FB125" w14:textId="77777777" w:rsidR="002C66BE" w:rsidRPr="002C66BE" w:rsidRDefault="002C66BE" w:rsidP="00F73A5B">
      <w:pPr>
        <w:pStyle w:val="Heading2"/>
        <w:spacing w:before="58"/>
        <w:rPr>
          <w:b/>
          <w:bCs/>
          <w:sz w:val="24"/>
          <w:szCs w:val="24"/>
        </w:rPr>
      </w:pPr>
      <w:bookmarkStart w:id="0" w:name="_Hlk122091298"/>
      <w:r w:rsidRPr="002C66BE">
        <w:rPr>
          <w:b/>
          <w:bCs/>
          <w:sz w:val="24"/>
          <w:szCs w:val="24"/>
        </w:rPr>
        <w:t>Department of Children, Youth Justice and Multicultural Affairs</w:t>
      </w:r>
    </w:p>
    <w:p w14:paraId="0FE0B938" w14:textId="3DF1F323" w:rsidR="002C66BE" w:rsidRPr="002C66BE" w:rsidRDefault="00F73A5B" w:rsidP="00F73A5B">
      <w:pPr>
        <w:pStyle w:val="Heading2"/>
        <w:spacing w:before="58"/>
        <w:rPr>
          <w:b/>
          <w:bCs/>
          <w:sz w:val="24"/>
          <w:szCs w:val="24"/>
        </w:rPr>
      </w:pPr>
      <w:r w:rsidRPr="002C66BE">
        <w:rPr>
          <w:b/>
          <w:bCs/>
          <w:sz w:val="24"/>
          <w:szCs w:val="24"/>
        </w:rPr>
        <w:t>Performance statement</w:t>
      </w:r>
      <w:r w:rsidR="002C66BE" w:rsidRPr="002C66BE">
        <w:rPr>
          <w:b/>
          <w:bCs/>
          <w:sz w:val="24"/>
          <w:szCs w:val="24"/>
        </w:rPr>
        <w:t xml:space="preserve"> - Youth Justice Services</w:t>
      </w:r>
    </w:p>
    <w:p w14:paraId="4AE55747" w14:textId="5E5DD08E" w:rsidR="002C66BE" w:rsidRPr="002C66BE" w:rsidRDefault="002C66BE" w:rsidP="00F73A5B">
      <w:pPr>
        <w:pStyle w:val="Heading2"/>
        <w:spacing w:before="58"/>
        <w:rPr>
          <w:sz w:val="22"/>
          <w:szCs w:val="22"/>
        </w:rPr>
      </w:pPr>
      <w:r w:rsidRPr="002C66BE">
        <w:rPr>
          <w:sz w:val="22"/>
          <w:szCs w:val="22"/>
        </w:rPr>
        <w:t>(as referenced in</w:t>
      </w:r>
      <w:r>
        <w:rPr>
          <w:sz w:val="22"/>
          <w:szCs w:val="22"/>
        </w:rPr>
        <w:t xml:space="preserve"> the Annual Report 2021-22 available on the department website </w:t>
      </w:r>
      <w:hyperlink r:id="rId8" w:history="1">
        <w:r w:rsidRPr="00544A30">
          <w:rPr>
            <w:rStyle w:val="Hyperlink"/>
            <w:sz w:val="22"/>
            <w:szCs w:val="22"/>
          </w:rPr>
          <w:t>https://www.cyjma.qld.gov.au/about-us/our-department/corporate-publications/annual-report</w:t>
        </w:r>
      </w:hyperlink>
      <w:r w:rsidRPr="002C66BE">
        <w:rPr>
          <w:sz w:val="22"/>
          <w:szCs w:val="22"/>
        </w:rPr>
        <w:t>)</w:t>
      </w:r>
    </w:p>
    <w:bookmarkEnd w:id="0"/>
    <w:p w14:paraId="45B4C200" w14:textId="77777777" w:rsidR="00F73A5B" w:rsidRPr="002C66BE" w:rsidRDefault="00F73A5B" w:rsidP="00F73A5B">
      <w:pPr>
        <w:pStyle w:val="BodyText"/>
      </w:pPr>
      <w:r w:rsidRPr="002C66BE">
        <w:t xml:space="preserve"> </w:t>
      </w:r>
    </w:p>
    <w:p w14:paraId="428355DD" w14:textId="77777777" w:rsidR="00F73A5B" w:rsidRDefault="00F73A5B" w:rsidP="00F73A5B">
      <w:pPr>
        <w:pStyle w:val="BodyText"/>
        <w:spacing w:before="1"/>
        <w:rPr>
          <w:sz w:val="13"/>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3"/>
        <w:gridCol w:w="1154"/>
        <w:gridCol w:w="1559"/>
        <w:gridCol w:w="1630"/>
      </w:tblGrid>
      <w:tr w:rsidR="00F73A5B" w14:paraId="51EB232E" w14:textId="77777777" w:rsidTr="6912D050">
        <w:tc>
          <w:tcPr>
            <w:tcW w:w="4673" w:type="dxa"/>
          </w:tcPr>
          <w:p w14:paraId="4381CD49" w14:textId="77777777" w:rsidR="00F73A5B" w:rsidRPr="001663FC" w:rsidRDefault="00F73A5B" w:rsidP="00F63301">
            <w:pPr>
              <w:pStyle w:val="TableParagraph"/>
              <w:spacing w:before="60" w:after="60"/>
              <w:ind w:left="110"/>
              <w:rPr>
                <w:b/>
                <w:color w:val="000000" w:themeColor="text1"/>
              </w:rPr>
            </w:pPr>
            <w:r w:rsidRPr="001663FC">
              <w:rPr>
                <w:b/>
                <w:color w:val="000000" w:themeColor="text1"/>
              </w:rPr>
              <w:t>Service</w:t>
            </w:r>
            <w:r w:rsidRPr="001663FC">
              <w:rPr>
                <w:b/>
                <w:color w:val="000000" w:themeColor="text1"/>
                <w:spacing w:val="-3"/>
              </w:rPr>
              <w:t xml:space="preserve"> </w:t>
            </w:r>
            <w:r w:rsidRPr="001663FC">
              <w:rPr>
                <w:b/>
                <w:color w:val="000000" w:themeColor="text1"/>
              </w:rPr>
              <w:t>Area:</w:t>
            </w:r>
          </w:p>
          <w:p w14:paraId="65AD46BA" w14:textId="77777777" w:rsidR="00F73A5B" w:rsidRPr="001663FC" w:rsidRDefault="00F73A5B" w:rsidP="00F63301">
            <w:pPr>
              <w:pStyle w:val="TableParagraph"/>
              <w:spacing w:before="60" w:after="60"/>
              <w:ind w:left="110"/>
              <w:rPr>
                <w:b/>
                <w:color w:val="000000" w:themeColor="text1"/>
              </w:rPr>
            </w:pPr>
            <w:r w:rsidRPr="001663FC">
              <w:rPr>
                <w:b/>
                <w:color w:val="000000" w:themeColor="text1"/>
              </w:rPr>
              <w:t>Youth</w:t>
            </w:r>
            <w:r w:rsidRPr="001663FC">
              <w:rPr>
                <w:b/>
                <w:color w:val="000000" w:themeColor="text1"/>
                <w:spacing w:val="-3"/>
              </w:rPr>
              <w:t xml:space="preserve"> </w:t>
            </w:r>
            <w:r w:rsidRPr="001663FC">
              <w:rPr>
                <w:b/>
                <w:color w:val="000000" w:themeColor="text1"/>
              </w:rPr>
              <w:t>Justice</w:t>
            </w:r>
            <w:r w:rsidRPr="001663FC">
              <w:rPr>
                <w:b/>
                <w:color w:val="000000" w:themeColor="text1"/>
                <w:spacing w:val="-2"/>
              </w:rPr>
              <w:t xml:space="preserve"> </w:t>
            </w:r>
            <w:r w:rsidRPr="001663FC">
              <w:rPr>
                <w:b/>
                <w:color w:val="000000" w:themeColor="text1"/>
              </w:rPr>
              <w:t>Services</w:t>
            </w:r>
          </w:p>
        </w:tc>
        <w:tc>
          <w:tcPr>
            <w:tcW w:w="1154" w:type="dxa"/>
          </w:tcPr>
          <w:p w14:paraId="437F4C46" w14:textId="5DF6D478" w:rsidR="00F73A5B" w:rsidRPr="001663FC" w:rsidRDefault="00F73A5B" w:rsidP="00F63301">
            <w:pPr>
              <w:pStyle w:val="TableParagraph"/>
              <w:spacing w:before="60" w:after="60"/>
              <w:ind w:left="101" w:right="88"/>
              <w:jc w:val="center"/>
              <w:rPr>
                <w:b/>
                <w:color w:val="000000" w:themeColor="text1"/>
              </w:rPr>
            </w:pPr>
            <w:proofErr w:type="spellStart"/>
            <w:r w:rsidRPr="001663FC">
              <w:rPr>
                <w:b/>
                <w:color w:val="000000" w:themeColor="text1"/>
              </w:rPr>
              <w:t>Notes</w:t>
            </w:r>
            <w:r w:rsidR="005F3494" w:rsidRPr="001663FC">
              <w:rPr>
                <w:b/>
                <w:color w:val="000000" w:themeColor="text1"/>
                <w:vertAlign w:val="superscript"/>
              </w:rPr>
              <w:t>a</w:t>
            </w:r>
            <w:proofErr w:type="spellEnd"/>
          </w:p>
        </w:tc>
        <w:tc>
          <w:tcPr>
            <w:tcW w:w="1559" w:type="dxa"/>
          </w:tcPr>
          <w:p w14:paraId="059DF931" w14:textId="77777777" w:rsidR="00F73A5B" w:rsidRPr="001663FC" w:rsidRDefault="00F73A5B" w:rsidP="00F63301">
            <w:pPr>
              <w:pStyle w:val="TableParagraph"/>
              <w:spacing w:before="60" w:after="60"/>
              <w:ind w:left="97" w:right="86"/>
              <w:jc w:val="center"/>
              <w:rPr>
                <w:b/>
                <w:color w:val="000000" w:themeColor="text1"/>
              </w:rPr>
            </w:pPr>
            <w:r w:rsidRPr="001663FC">
              <w:rPr>
                <w:b/>
                <w:color w:val="000000" w:themeColor="text1"/>
              </w:rPr>
              <w:t>2021-22</w:t>
            </w:r>
          </w:p>
          <w:p w14:paraId="186D8586" w14:textId="77777777" w:rsidR="00F73A5B" w:rsidRPr="001663FC" w:rsidRDefault="00F73A5B" w:rsidP="00F63301">
            <w:pPr>
              <w:pStyle w:val="TableParagraph"/>
              <w:spacing w:before="60" w:after="60"/>
              <w:ind w:left="100" w:right="86"/>
              <w:jc w:val="center"/>
              <w:rPr>
                <w:b/>
                <w:color w:val="000000" w:themeColor="text1"/>
              </w:rPr>
            </w:pPr>
            <w:r w:rsidRPr="001663FC">
              <w:rPr>
                <w:b/>
                <w:color w:val="000000" w:themeColor="text1"/>
              </w:rPr>
              <w:t>Target</w:t>
            </w:r>
            <w:r w:rsidRPr="001663FC">
              <w:rPr>
                <w:b/>
                <w:color w:val="000000" w:themeColor="text1"/>
                <w:spacing w:val="-3"/>
              </w:rPr>
              <w:t xml:space="preserve"> </w:t>
            </w:r>
            <w:r w:rsidRPr="001663FC">
              <w:rPr>
                <w:b/>
                <w:color w:val="000000" w:themeColor="text1"/>
              </w:rPr>
              <w:t>/ estimate</w:t>
            </w:r>
          </w:p>
        </w:tc>
        <w:tc>
          <w:tcPr>
            <w:tcW w:w="1630" w:type="dxa"/>
          </w:tcPr>
          <w:p w14:paraId="3CA82C6A" w14:textId="77777777" w:rsidR="00F73A5B" w:rsidRPr="001663FC" w:rsidRDefault="00F73A5B" w:rsidP="00F63301">
            <w:pPr>
              <w:pStyle w:val="TableParagraph"/>
              <w:spacing w:before="60" w:after="60"/>
              <w:ind w:left="350"/>
              <w:rPr>
                <w:b/>
                <w:color w:val="000000" w:themeColor="text1"/>
              </w:rPr>
            </w:pPr>
            <w:r w:rsidRPr="001663FC">
              <w:rPr>
                <w:b/>
                <w:color w:val="000000" w:themeColor="text1"/>
              </w:rPr>
              <w:t>2021-22</w:t>
            </w:r>
          </w:p>
          <w:p w14:paraId="1ABCA3F8" w14:textId="77777777" w:rsidR="00F73A5B" w:rsidRPr="001663FC" w:rsidRDefault="00F73A5B" w:rsidP="00F63301">
            <w:pPr>
              <w:pStyle w:val="TableParagraph"/>
              <w:spacing w:before="60" w:after="60"/>
              <w:ind w:left="420"/>
              <w:rPr>
                <w:b/>
                <w:color w:val="000000" w:themeColor="text1"/>
              </w:rPr>
            </w:pPr>
            <w:r w:rsidRPr="001663FC">
              <w:rPr>
                <w:b/>
                <w:color w:val="000000" w:themeColor="text1"/>
              </w:rPr>
              <w:t>Actual</w:t>
            </w:r>
          </w:p>
        </w:tc>
      </w:tr>
      <w:tr w:rsidR="00F73A5B" w14:paraId="0A3A2EEE" w14:textId="77777777" w:rsidTr="6912D050">
        <w:tc>
          <w:tcPr>
            <w:tcW w:w="4673" w:type="dxa"/>
          </w:tcPr>
          <w:p w14:paraId="44B17D7E" w14:textId="77777777" w:rsidR="00F73A5B" w:rsidRPr="001663FC" w:rsidRDefault="00F73A5B" w:rsidP="00F63301">
            <w:pPr>
              <w:pStyle w:val="TableParagraph"/>
              <w:spacing w:before="60" w:after="60"/>
              <w:ind w:left="110" w:right="351"/>
              <w:rPr>
                <w:color w:val="000000" w:themeColor="text1"/>
              </w:rPr>
            </w:pPr>
            <w:r w:rsidRPr="001663FC">
              <w:rPr>
                <w:color w:val="000000" w:themeColor="text1"/>
              </w:rPr>
              <w:t>Percentage of orders supervised in the</w:t>
            </w:r>
            <w:r w:rsidRPr="001663FC">
              <w:rPr>
                <w:color w:val="000000" w:themeColor="text1"/>
                <w:spacing w:val="1"/>
              </w:rPr>
              <w:t xml:space="preserve"> </w:t>
            </w:r>
            <w:r w:rsidRPr="001663FC">
              <w:rPr>
                <w:color w:val="000000" w:themeColor="text1"/>
              </w:rPr>
              <w:t>community</w:t>
            </w:r>
            <w:r w:rsidRPr="001663FC">
              <w:rPr>
                <w:color w:val="000000" w:themeColor="text1"/>
                <w:spacing w:val="-5"/>
              </w:rPr>
              <w:t xml:space="preserve"> </w:t>
            </w:r>
            <w:r w:rsidRPr="001663FC">
              <w:rPr>
                <w:color w:val="000000" w:themeColor="text1"/>
              </w:rPr>
              <w:t>that</w:t>
            </w:r>
            <w:r w:rsidRPr="001663FC">
              <w:rPr>
                <w:color w:val="000000" w:themeColor="text1"/>
                <w:spacing w:val="-2"/>
              </w:rPr>
              <w:t xml:space="preserve"> </w:t>
            </w:r>
            <w:r w:rsidRPr="001663FC">
              <w:rPr>
                <w:color w:val="000000" w:themeColor="text1"/>
              </w:rPr>
              <w:t>are</w:t>
            </w:r>
            <w:r w:rsidRPr="001663FC">
              <w:rPr>
                <w:color w:val="000000" w:themeColor="text1"/>
                <w:spacing w:val="-4"/>
              </w:rPr>
              <w:t xml:space="preserve"> </w:t>
            </w:r>
            <w:r w:rsidRPr="001663FC">
              <w:rPr>
                <w:color w:val="000000" w:themeColor="text1"/>
              </w:rPr>
              <w:t>successfully</w:t>
            </w:r>
            <w:r w:rsidRPr="001663FC">
              <w:rPr>
                <w:color w:val="000000" w:themeColor="text1"/>
                <w:spacing w:val="-1"/>
              </w:rPr>
              <w:t xml:space="preserve"> </w:t>
            </w:r>
            <w:r w:rsidRPr="001663FC">
              <w:rPr>
                <w:color w:val="000000" w:themeColor="text1"/>
              </w:rPr>
              <w:t>completed</w:t>
            </w:r>
          </w:p>
        </w:tc>
        <w:tc>
          <w:tcPr>
            <w:tcW w:w="1154" w:type="dxa"/>
          </w:tcPr>
          <w:p w14:paraId="6828262F" w14:textId="77777777" w:rsidR="00F73A5B" w:rsidRPr="001663FC" w:rsidRDefault="00F73A5B" w:rsidP="00F63301">
            <w:pPr>
              <w:pStyle w:val="TableParagraph"/>
              <w:spacing w:before="60" w:after="60"/>
              <w:ind w:left="14"/>
              <w:jc w:val="center"/>
              <w:rPr>
                <w:color w:val="000000" w:themeColor="text1"/>
              </w:rPr>
            </w:pPr>
          </w:p>
        </w:tc>
        <w:tc>
          <w:tcPr>
            <w:tcW w:w="1559" w:type="dxa"/>
          </w:tcPr>
          <w:p w14:paraId="674DC9FD" w14:textId="77777777" w:rsidR="00F73A5B" w:rsidRPr="001663FC" w:rsidRDefault="00F73A5B" w:rsidP="00F63301">
            <w:pPr>
              <w:pStyle w:val="TableParagraph"/>
              <w:spacing w:before="60" w:after="60"/>
              <w:rPr>
                <w:rFonts w:ascii="Times New Roman"/>
                <w:color w:val="000000" w:themeColor="text1"/>
                <w:sz w:val="18"/>
              </w:rPr>
            </w:pPr>
          </w:p>
        </w:tc>
        <w:tc>
          <w:tcPr>
            <w:tcW w:w="1630" w:type="dxa"/>
          </w:tcPr>
          <w:p w14:paraId="2E4AE4D9" w14:textId="77777777" w:rsidR="00F73A5B" w:rsidRPr="001663FC" w:rsidRDefault="00F73A5B" w:rsidP="00F63301">
            <w:pPr>
              <w:pStyle w:val="TableParagraph"/>
              <w:spacing w:before="60" w:after="60"/>
              <w:rPr>
                <w:rFonts w:ascii="Times New Roman"/>
                <w:color w:val="000000" w:themeColor="text1"/>
                <w:sz w:val="18"/>
              </w:rPr>
            </w:pPr>
          </w:p>
        </w:tc>
      </w:tr>
      <w:tr w:rsidR="00F73A5B" w14:paraId="79AB66AD" w14:textId="77777777" w:rsidTr="6912D050">
        <w:tc>
          <w:tcPr>
            <w:tcW w:w="4673" w:type="dxa"/>
          </w:tcPr>
          <w:p w14:paraId="7527089F" w14:textId="77777777" w:rsidR="00F73A5B" w:rsidRPr="001663FC" w:rsidRDefault="00F73A5B" w:rsidP="00F63301">
            <w:pPr>
              <w:pStyle w:val="TableParagraph"/>
              <w:numPr>
                <w:ilvl w:val="0"/>
                <w:numId w:val="2"/>
              </w:numPr>
              <w:tabs>
                <w:tab w:val="left" w:pos="470"/>
                <w:tab w:val="left" w:pos="471"/>
              </w:tabs>
              <w:spacing w:before="60" w:after="60"/>
              <w:ind w:right="669"/>
              <w:rPr>
                <w:color w:val="000000" w:themeColor="text1"/>
              </w:rPr>
            </w:pPr>
            <w:r w:rsidRPr="001663FC">
              <w:rPr>
                <w:color w:val="000000" w:themeColor="text1"/>
              </w:rPr>
              <w:t xml:space="preserve">Aboriginal and Torres Strait Islander </w:t>
            </w:r>
            <w:r w:rsidRPr="001663FC">
              <w:rPr>
                <w:color w:val="000000" w:themeColor="text1"/>
                <w:spacing w:val="-60"/>
              </w:rPr>
              <w:t xml:space="preserve">  </w:t>
            </w:r>
            <w:r w:rsidRPr="001663FC">
              <w:rPr>
                <w:color w:val="000000" w:themeColor="text1"/>
              </w:rPr>
              <w:t>young</w:t>
            </w:r>
            <w:r w:rsidRPr="001663FC">
              <w:rPr>
                <w:color w:val="000000" w:themeColor="text1"/>
                <w:spacing w:val="-1"/>
              </w:rPr>
              <w:t xml:space="preserve"> </w:t>
            </w:r>
            <w:r w:rsidRPr="001663FC">
              <w:rPr>
                <w:color w:val="000000" w:themeColor="text1"/>
              </w:rPr>
              <w:t>offenders</w:t>
            </w:r>
          </w:p>
        </w:tc>
        <w:tc>
          <w:tcPr>
            <w:tcW w:w="1154" w:type="dxa"/>
          </w:tcPr>
          <w:p w14:paraId="7582A362" w14:textId="77777777" w:rsidR="00F73A5B" w:rsidRPr="001663FC" w:rsidRDefault="00F73A5B" w:rsidP="00F63301">
            <w:pPr>
              <w:pStyle w:val="TableParagraph"/>
              <w:spacing w:before="60" w:after="60"/>
              <w:rPr>
                <w:rFonts w:ascii="Times New Roman"/>
                <w:color w:val="000000" w:themeColor="text1"/>
                <w:sz w:val="18"/>
              </w:rPr>
            </w:pPr>
          </w:p>
        </w:tc>
        <w:tc>
          <w:tcPr>
            <w:tcW w:w="1559" w:type="dxa"/>
          </w:tcPr>
          <w:p w14:paraId="2FC2EEE6" w14:textId="77777777" w:rsidR="00F73A5B" w:rsidRPr="001663FC" w:rsidRDefault="00F73A5B" w:rsidP="00F63301">
            <w:pPr>
              <w:pStyle w:val="TableParagraph"/>
              <w:spacing w:before="60" w:after="60"/>
              <w:ind w:left="99" w:right="86"/>
              <w:jc w:val="center"/>
              <w:rPr>
                <w:color w:val="000000" w:themeColor="text1"/>
              </w:rPr>
            </w:pPr>
            <w:r w:rsidRPr="001663FC">
              <w:rPr>
                <w:color w:val="000000" w:themeColor="text1"/>
              </w:rPr>
              <w:t>85%</w:t>
            </w:r>
          </w:p>
        </w:tc>
        <w:tc>
          <w:tcPr>
            <w:tcW w:w="1630" w:type="dxa"/>
          </w:tcPr>
          <w:p w14:paraId="6453B09D" w14:textId="5368D385" w:rsidR="00F73A5B" w:rsidRPr="001663FC" w:rsidRDefault="005F3494" w:rsidP="00F63301">
            <w:pPr>
              <w:pStyle w:val="TableParagraph"/>
              <w:spacing w:before="60" w:after="60"/>
              <w:ind w:left="336" w:right="325"/>
              <w:jc w:val="center"/>
              <w:rPr>
                <w:color w:val="000000" w:themeColor="text1"/>
              </w:rPr>
            </w:pPr>
            <w:r w:rsidRPr="001663FC">
              <w:rPr>
                <w:color w:val="000000" w:themeColor="text1"/>
              </w:rPr>
              <w:t>82%</w:t>
            </w:r>
          </w:p>
        </w:tc>
      </w:tr>
      <w:tr w:rsidR="00F73A5B" w14:paraId="7824B26E" w14:textId="77777777" w:rsidTr="6912D050">
        <w:tc>
          <w:tcPr>
            <w:tcW w:w="4673" w:type="dxa"/>
          </w:tcPr>
          <w:p w14:paraId="3F8EED6A" w14:textId="77777777" w:rsidR="00F73A5B" w:rsidRPr="001663FC" w:rsidRDefault="00F73A5B" w:rsidP="00F63301">
            <w:pPr>
              <w:pStyle w:val="TableParagraph"/>
              <w:numPr>
                <w:ilvl w:val="0"/>
                <w:numId w:val="2"/>
              </w:numPr>
              <w:tabs>
                <w:tab w:val="left" w:pos="470"/>
                <w:tab w:val="left" w:pos="471"/>
              </w:tabs>
              <w:spacing w:before="60" w:after="60"/>
              <w:rPr>
                <w:color w:val="000000" w:themeColor="text1"/>
              </w:rPr>
            </w:pPr>
            <w:r w:rsidRPr="001663FC">
              <w:rPr>
                <w:color w:val="000000" w:themeColor="text1"/>
              </w:rPr>
              <w:t>Other young</w:t>
            </w:r>
            <w:r w:rsidRPr="001663FC">
              <w:rPr>
                <w:color w:val="000000" w:themeColor="text1"/>
                <w:spacing w:val="-3"/>
              </w:rPr>
              <w:t xml:space="preserve"> </w:t>
            </w:r>
            <w:r w:rsidRPr="001663FC">
              <w:rPr>
                <w:color w:val="000000" w:themeColor="text1"/>
              </w:rPr>
              <w:t>offenders</w:t>
            </w:r>
          </w:p>
        </w:tc>
        <w:tc>
          <w:tcPr>
            <w:tcW w:w="1154" w:type="dxa"/>
          </w:tcPr>
          <w:p w14:paraId="6936CB01" w14:textId="77777777" w:rsidR="00F73A5B" w:rsidRPr="001663FC" w:rsidRDefault="00F73A5B" w:rsidP="00F63301">
            <w:pPr>
              <w:pStyle w:val="TableParagraph"/>
              <w:spacing w:before="60" w:after="60"/>
              <w:rPr>
                <w:rFonts w:ascii="Times New Roman"/>
                <w:color w:val="000000" w:themeColor="text1"/>
                <w:sz w:val="18"/>
              </w:rPr>
            </w:pPr>
          </w:p>
        </w:tc>
        <w:tc>
          <w:tcPr>
            <w:tcW w:w="1559" w:type="dxa"/>
          </w:tcPr>
          <w:p w14:paraId="7616DAD9" w14:textId="77777777" w:rsidR="00F73A5B" w:rsidRPr="001663FC" w:rsidRDefault="00F73A5B" w:rsidP="00F63301">
            <w:pPr>
              <w:pStyle w:val="TableParagraph"/>
              <w:spacing w:before="60" w:after="60"/>
              <w:ind w:left="99" w:right="86"/>
              <w:jc w:val="center"/>
              <w:rPr>
                <w:color w:val="000000" w:themeColor="text1"/>
              </w:rPr>
            </w:pPr>
            <w:r w:rsidRPr="001663FC">
              <w:rPr>
                <w:color w:val="000000" w:themeColor="text1"/>
              </w:rPr>
              <w:t>86%</w:t>
            </w:r>
          </w:p>
        </w:tc>
        <w:tc>
          <w:tcPr>
            <w:tcW w:w="1630" w:type="dxa"/>
          </w:tcPr>
          <w:p w14:paraId="65D6AFD7" w14:textId="330B81AB" w:rsidR="00F73A5B" w:rsidRPr="001663FC" w:rsidRDefault="005F3494" w:rsidP="00F63301">
            <w:pPr>
              <w:pStyle w:val="TableParagraph"/>
              <w:spacing w:before="60" w:after="60"/>
              <w:ind w:left="336" w:right="325"/>
              <w:jc w:val="center"/>
              <w:rPr>
                <w:color w:val="000000" w:themeColor="text1"/>
              </w:rPr>
            </w:pPr>
            <w:r w:rsidRPr="001663FC">
              <w:rPr>
                <w:color w:val="000000" w:themeColor="text1"/>
              </w:rPr>
              <w:t>88%</w:t>
            </w:r>
          </w:p>
        </w:tc>
      </w:tr>
      <w:tr w:rsidR="00F73A5B" w14:paraId="7D660CAE" w14:textId="77777777" w:rsidTr="6912D050">
        <w:tc>
          <w:tcPr>
            <w:tcW w:w="4673" w:type="dxa"/>
          </w:tcPr>
          <w:p w14:paraId="32DE124F" w14:textId="77777777" w:rsidR="00F73A5B" w:rsidRPr="001663FC" w:rsidRDefault="00F73A5B" w:rsidP="00F63301">
            <w:pPr>
              <w:pStyle w:val="TableParagraph"/>
              <w:numPr>
                <w:ilvl w:val="0"/>
                <w:numId w:val="2"/>
              </w:numPr>
              <w:tabs>
                <w:tab w:val="left" w:pos="470"/>
                <w:tab w:val="left" w:pos="471"/>
              </w:tabs>
              <w:spacing w:before="60" w:after="60"/>
              <w:rPr>
                <w:color w:val="000000" w:themeColor="text1"/>
              </w:rPr>
            </w:pPr>
            <w:r w:rsidRPr="001663FC">
              <w:rPr>
                <w:color w:val="000000" w:themeColor="text1"/>
              </w:rPr>
              <w:t>All</w:t>
            </w:r>
            <w:r w:rsidRPr="001663FC">
              <w:rPr>
                <w:color w:val="000000" w:themeColor="text1"/>
                <w:spacing w:val="-2"/>
              </w:rPr>
              <w:t xml:space="preserve"> </w:t>
            </w:r>
            <w:r w:rsidRPr="001663FC">
              <w:rPr>
                <w:color w:val="000000" w:themeColor="text1"/>
              </w:rPr>
              <w:t>young</w:t>
            </w:r>
            <w:r w:rsidRPr="001663FC">
              <w:rPr>
                <w:color w:val="000000" w:themeColor="text1"/>
                <w:spacing w:val="-2"/>
              </w:rPr>
              <w:t xml:space="preserve"> </w:t>
            </w:r>
            <w:r w:rsidRPr="001663FC">
              <w:rPr>
                <w:color w:val="000000" w:themeColor="text1"/>
              </w:rPr>
              <w:t>offenders</w:t>
            </w:r>
          </w:p>
        </w:tc>
        <w:tc>
          <w:tcPr>
            <w:tcW w:w="1154" w:type="dxa"/>
          </w:tcPr>
          <w:p w14:paraId="0C712D5B" w14:textId="77777777" w:rsidR="00F73A5B" w:rsidRPr="001663FC" w:rsidRDefault="00F73A5B" w:rsidP="00F63301">
            <w:pPr>
              <w:pStyle w:val="TableParagraph"/>
              <w:spacing w:before="60" w:after="60"/>
              <w:rPr>
                <w:rFonts w:ascii="Times New Roman"/>
                <w:color w:val="000000" w:themeColor="text1"/>
                <w:sz w:val="18"/>
              </w:rPr>
            </w:pPr>
          </w:p>
        </w:tc>
        <w:tc>
          <w:tcPr>
            <w:tcW w:w="1559" w:type="dxa"/>
          </w:tcPr>
          <w:p w14:paraId="6CE5A890" w14:textId="77777777" w:rsidR="00F73A5B" w:rsidRPr="001663FC" w:rsidRDefault="00F73A5B" w:rsidP="00F63301">
            <w:pPr>
              <w:pStyle w:val="TableParagraph"/>
              <w:spacing w:before="60" w:after="60"/>
              <w:ind w:left="99" w:right="86"/>
              <w:jc w:val="center"/>
              <w:rPr>
                <w:color w:val="000000" w:themeColor="text1"/>
              </w:rPr>
            </w:pPr>
            <w:r w:rsidRPr="001663FC">
              <w:rPr>
                <w:color w:val="000000" w:themeColor="text1"/>
              </w:rPr>
              <w:t>85%</w:t>
            </w:r>
          </w:p>
        </w:tc>
        <w:tc>
          <w:tcPr>
            <w:tcW w:w="1630" w:type="dxa"/>
          </w:tcPr>
          <w:p w14:paraId="41809878" w14:textId="5338CD72" w:rsidR="00F73A5B" w:rsidRPr="001663FC" w:rsidRDefault="005F3494" w:rsidP="00F63301">
            <w:pPr>
              <w:pStyle w:val="TableParagraph"/>
              <w:spacing w:before="60" w:after="60"/>
              <w:ind w:left="336" w:right="325"/>
              <w:jc w:val="center"/>
              <w:rPr>
                <w:color w:val="000000" w:themeColor="text1"/>
              </w:rPr>
            </w:pPr>
            <w:r w:rsidRPr="001663FC">
              <w:rPr>
                <w:color w:val="000000" w:themeColor="text1"/>
              </w:rPr>
              <w:t>84%</w:t>
            </w:r>
          </w:p>
        </w:tc>
      </w:tr>
      <w:tr w:rsidR="00F73A5B" w14:paraId="63274BB3" w14:textId="77777777" w:rsidTr="6912D050">
        <w:tc>
          <w:tcPr>
            <w:tcW w:w="4673" w:type="dxa"/>
          </w:tcPr>
          <w:p w14:paraId="4F016E4A" w14:textId="67C48AB7" w:rsidR="00F73A5B" w:rsidRPr="001663FC" w:rsidRDefault="00F73A5B" w:rsidP="00F63301">
            <w:pPr>
              <w:pStyle w:val="TableParagraph"/>
              <w:spacing w:before="60" w:after="60"/>
              <w:ind w:left="110"/>
              <w:rPr>
                <w:color w:val="000000" w:themeColor="text1"/>
              </w:rPr>
            </w:pPr>
            <w:r w:rsidRPr="001663FC">
              <w:rPr>
                <w:color w:val="000000" w:themeColor="text1"/>
              </w:rPr>
              <w:t>Proportion of young offenders (10-17 years) who have</w:t>
            </w:r>
            <w:r w:rsidRPr="001663FC">
              <w:rPr>
                <w:color w:val="000000" w:themeColor="text1"/>
                <w:spacing w:val="1"/>
              </w:rPr>
              <w:t xml:space="preserve"> </w:t>
            </w:r>
            <w:r w:rsidRPr="001663FC">
              <w:rPr>
                <w:color w:val="000000" w:themeColor="text1"/>
              </w:rPr>
              <w:t>another</w:t>
            </w:r>
            <w:r w:rsidRPr="001663FC">
              <w:rPr>
                <w:color w:val="000000" w:themeColor="text1"/>
                <w:spacing w:val="-3"/>
              </w:rPr>
              <w:t xml:space="preserve"> </w:t>
            </w:r>
            <w:r w:rsidRPr="001663FC">
              <w:rPr>
                <w:color w:val="000000" w:themeColor="text1"/>
              </w:rPr>
              <w:t>charged</w:t>
            </w:r>
            <w:r w:rsidRPr="001663FC">
              <w:rPr>
                <w:color w:val="000000" w:themeColor="text1"/>
                <w:spacing w:val="-4"/>
              </w:rPr>
              <w:t xml:space="preserve"> </w:t>
            </w:r>
            <w:r w:rsidRPr="001663FC">
              <w:rPr>
                <w:color w:val="000000" w:themeColor="text1"/>
              </w:rPr>
              <w:t>offence</w:t>
            </w:r>
            <w:r w:rsidRPr="001663FC">
              <w:rPr>
                <w:color w:val="000000" w:themeColor="text1"/>
                <w:spacing w:val="-6"/>
              </w:rPr>
              <w:t xml:space="preserve"> or are referred by Queensland Police Service (QPS) to a Restorative Justice Conference </w:t>
            </w:r>
            <w:r w:rsidRPr="001663FC">
              <w:rPr>
                <w:color w:val="000000" w:themeColor="text1"/>
              </w:rPr>
              <w:t>within</w:t>
            </w:r>
            <w:r w:rsidRPr="001663FC">
              <w:rPr>
                <w:color w:val="000000" w:themeColor="text1"/>
                <w:spacing w:val="-1"/>
              </w:rPr>
              <w:t xml:space="preserve"> </w:t>
            </w:r>
            <w:r w:rsidRPr="001663FC">
              <w:rPr>
                <w:color w:val="000000" w:themeColor="text1"/>
              </w:rPr>
              <w:t>12</w:t>
            </w:r>
            <w:r w:rsidRPr="001663FC">
              <w:rPr>
                <w:color w:val="000000" w:themeColor="text1"/>
                <w:spacing w:val="-2"/>
              </w:rPr>
              <w:t xml:space="preserve"> </w:t>
            </w:r>
            <w:r w:rsidRPr="001663FC">
              <w:rPr>
                <w:color w:val="000000" w:themeColor="text1"/>
              </w:rPr>
              <w:t>months</w:t>
            </w:r>
            <w:r w:rsidRPr="001663FC">
              <w:rPr>
                <w:color w:val="000000" w:themeColor="text1"/>
                <w:spacing w:val="-4"/>
              </w:rPr>
              <w:t xml:space="preserve"> </w:t>
            </w:r>
            <w:r w:rsidRPr="001663FC">
              <w:rPr>
                <w:color w:val="000000" w:themeColor="text1"/>
              </w:rPr>
              <w:t>of an</w:t>
            </w:r>
            <w:r w:rsidRPr="001663FC">
              <w:rPr>
                <w:color w:val="000000" w:themeColor="text1"/>
                <w:spacing w:val="-3"/>
              </w:rPr>
              <w:t xml:space="preserve"> </w:t>
            </w:r>
            <w:r w:rsidRPr="001663FC">
              <w:rPr>
                <w:color w:val="000000" w:themeColor="text1"/>
              </w:rPr>
              <w:t>initial</w:t>
            </w:r>
            <w:r w:rsidRPr="001663FC">
              <w:rPr>
                <w:color w:val="000000" w:themeColor="text1"/>
                <w:spacing w:val="-2"/>
              </w:rPr>
              <w:t xml:space="preserve"> </w:t>
            </w:r>
            <w:r w:rsidRPr="001663FC">
              <w:rPr>
                <w:color w:val="000000" w:themeColor="text1"/>
              </w:rPr>
              <w:t>finalisation</w:t>
            </w:r>
            <w:r w:rsidRPr="001663FC">
              <w:rPr>
                <w:color w:val="000000" w:themeColor="text1"/>
                <w:spacing w:val="-3"/>
              </w:rPr>
              <w:t xml:space="preserve"> </w:t>
            </w:r>
            <w:r w:rsidRPr="001663FC">
              <w:rPr>
                <w:color w:val="000000" w:themeColor="text1"/>
              </w:rPr>
              <w:t>for proven</w:t>
            </w:r>
            <w:r w:rsidRPr="001663FC">
              <w:rPr>
                <w:color w:val="000000" w:themeColor="text1"/>
                <w:spacing w:val="-3"/>
              </w:rPr>
              <w:t xml:space="preserve"> </w:t>
            </w:r>
            <w:r w:rsidRPr="001663FC">
              <w:rPr>
                <w:color w:val="000000" w:themeColor="text1"/>
              </w:rPr>
              <w:t>offence</w:t>
            </w:r>
          </w:p>
        </w:tc>
        <w:tc>
          <w:tcPr>
            <w:tcW w:w="1154" w:type="dxa"/>
          </w:tcPr>
          <w:p w14:paraId="04F0E920" w14:textId="0ADEBBEF" w:rsidR="00F73A5B" w:rsidRPr="001663FC" w:rsidRDefault="6912D050" w:rsidP="6912D050">
            <w:pPr>
              <w:pStyle w:val="TableParagraph"/>
              <w:spacing w:before="60" w:after="60"/>
              <w:ind w:left="14"/>
              <w:jc w:val="center"/>
              <w:rPr>
                <w:color w:val="000000" w:themeColor="text1"/>
              </w:rPr>
            </w:pPr>
            <w:r w:rsidRPr="001663FC">
              <w:rPr>
                <w:color w:val="000000" w:themeColor="text1"/>
              </w:rPr>
              <w:t>1</w:t>
            </w:r>
          </w:p>
        </w:tc>
        <w:tc>
          <w:tcPr>
            <w:tcW w:w="1559" w:type="dxa"/>
          </w:tcPr>
          <w:p w14:paraId="292C14BE" w14:textId="77777777" w:rsidR="00F73A5B" w:rsidRPr="001663FC" w:rsidRDefault="00F73A5B" w:rsidP="00F63301">
            <w:pPr>
              <w:pStyle w:val="TableParagraph"/>
              <w:spacing w:before="60" w:after="60"/>
              <w:ind w:left="99" w:right="86"/>
              <w:jc w:val="center"/>
              <w:rPr>
                <w:color w:val="000000" w:themeColor="text1"/>
              </w:rPr>
            </w:pPr>
            <w:r w:rsidRPr="001663FC">
              <w:rPr>
                <w:color w:val="000000" w:themeColor="text1"/>
              </w:rPr>
              <w:t>New measure</w:t>
            </w:r>
          </w:p>
        </w:tc>
        <w:tc>
          <w:tcPr>
            <w:tcW w:w="1630" w:type="dxa"/>
          </w:tcPr>
          <w:p w14:paraId="1B2485A2" w14:textId="45CA75F5" w:rsidR="00F73A5B" w:rsidRPr="001663FC" w:rsidRDefault="6912D050" w:rsidP="6912D050">
            <w:pPr>
              <w:pStyle w:val="TableParagraph"/>
              <w:spacing w:before="60" w:after="60"/>
              <w:ind w:left="336" w:right="325"/>
              <w:jc w:val="center"/>
              <w:rPr>
                <w:color w:val="000000" w:themeColor="text1"/>
              </w:rPr>
            </w:pPr>
            <w:r w:rsidRPr="001663FC">
              <w:rPr>
                <w:color w:val="000000" w:themeColor="text1"/>
              </w:rPr>
              <w:t>66%</w:t>
            </w:r>
          </w:p>
        </w:tc>
      </w:tr>
      <w:tr w:rsidR="00F73A5B" w14:paraId="51B28415" w14:textId="77777777" w:rsidTr="6912D050">
        <w:tc>
          <w:tcPr>
            <w:tcW w:w="4673" w:type="dxa"/>
          </w:tcPr>
          <w:p w14:paraId="7590068A" w14:textId="77777777" w:rsidR="00F73A5B" w:rsidRPr="001663FC" w:rsidRDefault="00F73A5B" w:rsidP="00F63301">
            <w:pPr>
              <w:pStyle w:val="TableParagraph"/>
              <w:spacing w:before="60" w:after="60"/>
              <w:ind w:left="110"/>
              <w:rPr>
                <w:color w:val="000000" w:themeColor="text1"/>
              </w:rPr>
            </w:pPr>
            <w:r w:rsidRPr="001663FC">
              <w:rPr>
                <w:color w:val="000000" w:themeColor="text1"/>
              </w:rPr>
              <w:t>Youth</w:t>
            </w:r>
            <w:r w:rsidRPr="001663FC">
              <w:rPr>
                <w:color w:val="000000" w:themeColor="text1"/>
                <w:spacing w:val="-3"/>
              </w:rPr>
              <w:t xml:space="preserve"> </w:t>
            </w:r>
            <w:r w:rsidRPr="001663FC">
              <w:rPr>
                <w:color w:val="000000" w:themeColor="text1"/>
              </w:rPr>
              <w:t>detention</w:t>
            </w:r>
            <w:r w:rsidRPr="001663FC">
              <w:rPr>
                <w:color w:val="000000" w:themeColor="text1"/>
                <w:spacing w:val="-2"/>
              </w:rPr>
              <w:t xml:space="preserve"> </w:t>
            </w:r>
            <w:r w:rsidRPr="001663FC">
              <w:rPr>
                <w:color w:val="000000" w:themeColor="text1"/>
              </w:rPr>
              <w:t>centre</w:t>
            </w:r>
            <w:r w:rsidRPr="001663FC">
              <w:rPr>
                <w:color w:val="000000" w:themeColor="text1"/>
                <w:spacing w:val="-4"/>
              </w:rPr>
              <w:t xml:space="preserve"> </w:t>
            </w:r>
            <w:r w:rsidRPr="001663FC">
              <w:rPr>
                <w:color w:val="000000" w:themeColor="text1"/>
              </w:rPr>
              <w:t>utilisation</w:t>
            </w:r>
            <w:r w:rsidRPr="001663FC">
              <w:rPr>
                <w:color w:val="000000" w:themeColor="text1"/>
                <w:spacing w:val="-2"/>
              </w:rPr>
              <w:t xml:space="preserve"> </w:t>
            </w:r>
            <w:r w:rsidRPr="001663FC">
              <w:rPr>
                <w:color w:val="000000" w:themeColor="text1"/>
              </w:rPr>
              <w:t>rate</w:t>
            </w:r>
          </w:p>
        </w:tc>
        <w:tc>
          <w:tcPr>
            <w:tcW w:w="1154" w:type="dxa"/>
          </w:tcPr>
          <w:p w14:paraId="3157C748" w14:textId="5CB992AD" w:rsidR="00F73A5B" w:rsidRPr="001663FC" w:rsidRDefault="6912D050" w:rsidP="6912D050">
            <w:pPr>
              <w:pStyle w:val="TableParagraph"/>
              <w:spacing w:before="60" w:after="60"/>
              <w:ind w:left="14"/>
              <w:jc w:val="center"/>
              <w:rPr>
                <w:color w:val="000000" w:themeColor="text1"/>
              </w:rPr>
            </w:pPr>
            <w:r w:rsidRPr="001663FC">
              <w:rPr>
                <w:color w:val="000000" w:themeColor="text1"/>
              </w:rPr>
              <w:t>2</w:t>
            </w:r>
            <w:r w:rsidR="00D76DF2">
              <w:rPr>
                <w:color w:val="000000" w:themeColor="text1"/>
              </w:rPr>
              <w:t>,3</w:t>
            </w:r>
          </w:p>
        </w:tc>
        <w:tc>
          <w:tcPr>
            <w:tcW w:w="1559" w:type="dxa"/>
          </w:tcPr>
          <w:p w14:paraId="0F84E568" w14:textId="77777777" w:rsidR="00F73A5B" w:rsidRPr="001663FC" w:rsidRDefault="00F73A5B" w:rsidP="00F63301">
            <w:pPr>
              <w:pStyle w:val="TableParagraph"/>
              <w:spacing w:before="60" w:after="60"/>
              <w:ind w:left="99" w:right="86"/>
              <w:jc w:val="center"/>
              <w:rPr>
                <w:color w:val="000000" w:themeColor="text1"/>
              </w:rPr>
            </w:pPr>
            <w:r w:rsidRPr="001663FC">
              <w:rPr>
                <w:color w:val="000000" w:themeColor="text1"/>
              </w:rPr>
              <w:t>85%</w:t>
            </w:r>
          </w:p>
        </w:tc>
        <w:tc>
          <w:tcPr>
            <w:tcW w:w="1630" w:type="dxa"/>
          </w:tcPr>
          <w:p w14:paraId="78618EDC" w14:textId="6597A39D" w:rsidR="00F73A5B" w:rsidRPr="001663FC" w:rsidRDefault="005F3494" w:rsidP="00F63301">
            <w:pPr>
              <w:pStyle w:val="TableParagraph"/>
              <w:spacing w:before="60" w:after="60"/>
              <w:ind w:left="336" w:right="325"/>
              <w:jc w:val="center"/>
              <w:rPr>
                <w:color w:val="000000" w:themeColor="text1"/>
              </w:rPr>
            </w:pPr>
            <w:r w:rsidRPr="001663FC">
              <w:rPr>
                <w:color w:val="000000" w:themeColor="text1"/>
              </w:rPr>
              <w:t>96%</w:t>
            </w:r>
          </w:p>
        </w:tc>
      </w:tr>
      <w:tr w:rsidR="00F73A5B" w14:paraId="7AE2DA88" w14:textId="77777777" w:rsidTr="6912D050">
        <w:tc>
          <w:tcPr>
            <w:tcW w:w="4673" w:type="dxa"/>
          </w:tcPr>
          <w:p w14:paraId="488204B4" w14:textId="77777777" w:rsidR="00F73A5B" w:rsidRPr="001663FC" w:rsidRDefault="00F73A5B" w:rsidP="00F63301">
            <w:pPr>
              <w:pStyle w:val="TableParagraph"/>
              <w:spacing w:before="60" w:after="60"/>
              <w:ind w:left="110"/>
              <w:rPr>
                <w:color w:val="000000" w:themeColor="text1"/>
              </w:rPr>
            </w:pPr>
            <w:r w:rsidRPr="001663FC">
              <w:rPr>
                <w:color w:val="000000" w:themeColor="text1"/>
              </w:rPr>
              <w:t>Proportion of young offenders (10-15 years) who have another charged offence within 12 months of an initial finalisation for a proven offence</w:t>
            </w:r>
          </w:p>
        </w:tc>
        <w:tc>
          <w:tcPr>
            <w:tcW w:w="1154" w:type="dxa"/>
          </w:tcPr>
          <w:p w14:paraId="3EFB3685" w14:textId="4CDE2C4C" w:rsidR="00F73A5B" w:rsidRPr="001663FC" w:rsidDel="00307034" w:rsidRDefault="00D76DF2" w:rsidP="6912D050">
            <w:pPr>
              <w:pStyle w:val="TableParagraph"/>
              <w:spacing w:before="60" w:after="60"/>
              <w:ind w:left="14"/>
              <w:jc w:val="center"/>
              <w:rPr>
                <w:color w:val="000000" w:themeColor="text1"/>
              </w:rPr>
            </w:pPr>
            <w:r>
              <w:rPr>
                <w:color w:val="000000" w:themeColor="text1"/>
              </w:rPr>
              <w:t>4</w:t>
            </w:r>
          </w:p>
        </w:tc>
        <w:tc>
          <w:tcPr>
            <w:tcW w:w="1559" w:type="dxa"/>
          </w:tcPr>
          <w:p w14:paraId="466770F2" w14:textId="77777777" w:rsidR="00F73A5B" w:rsidRPr="001663FC" w:rsidRDefault="00F73A5B" w:rsidP="00F63301">
            <w:pPr>
              <w:pStyle w:val="TableParagraph"/>
              <w:spacing w:before="60" w:after="60"/>
              <w:ind w:left="99" w:right="86"/>
              <w:jc w:val="center"/>
              <w:rPr>
                <w:color w:val="000000" w:themeColor="text1"/>
              </w:rPr>
            </w:pPr>
            <w:r w:rsidRPr="001663FC">
              <w:rPr>
                <w:color w:val="000000" w:themeColor="text1"/>
              </w:rPr>
              <w:t>70%</w:t>
            </w:r>
          </w:p>
        </w:tc>
        <w:tc>
          <w:tcPr>
            <w:tcW w:w="1630" w:type="dxa"/>
          </w:tcPr>
          <w:p w14:paraId="0964CB95" w14:textId="0CF32AFB" w:rsidR="00F73A5B" w:rsidRPr="001663FC" w:rsidRDefault="005F3494" w:rsidP="00F63301">
            <w:pPr>
              <w:pStyle w:val="TableParagraph"/>
              <w:spacing w:before="60" w:after="60"/>
              <w:ind w:left="336" w:right="325"/>
              <w:jc w:val="center"/>
              <w:rPr>
                <w:color w:val="000000" w:themeColor="text1"/>
              </w:rPr>
            </w:pPr>
            <w:r w:rsidRPr="001663FC">
              <w:rPr>
                <w:color w:val="000000" w:themeColor="text1"/>
              </w:rPr>
              <w:t>76%</w:t>
            </w:r>
          </w:p>
        </w:tc>
      </w:tr>
      <w:tr w:rsidR="00F73A5B" w14:paraId="4AD08AA3" w14:textId="77777777" w:rsidTr="6912D050">
        <w:tc>
          <w:tcPr>
            <w:tcW w:w="9016" w:type="dxa"/>
            <w:gridSpan w:val="4"/>
          </w:tcPr>
          <w:p w14:paraId="6BE69794" w14:textId="77777777" w:rsidR="00F73A5B" w:rsidRPr="001663FC" w:rsidRDefault="00F73A5B" w:rsidP="00F63301">
            <w:pPr>
              <w:pStyle w:val="TableParagraph"/>
              <w:spacing w:before="60" w:after="60"/>
              <w:ind w:left="110"/>
              <w:rPr>
                <w:b/>
                <w:color w:val="000000" w:themeColor="text1"/>
                <w:sz w:val="18"/>
              </w:rPr>
            </w:pPr>
            <w:r w:rsidRPr="001663FC">
              <w:rPr>
                <w:b/>
                <w:color w:val="000000" w:themeColor="text1"/>
                <w:sz w:val="18"/>
              </w:rPr>
              <w:t>Notes:</w:t>
            </w:r>
          </w:p>
          <w:p w14:paraId="31DBBC81" w14:textId="11DCF65B" w:rsidR="00F73A5B" w:rsidRPr="001663FC" w:rsidRDefault="005F3494" w:rsidP="005F3494">
            <w:pPr>
              <w:pStyle w:val="TableParagraph"/>
              <w:tabs>
                <w:tab w:val="left" w:pos="469"/>
                <w:tab w:val="left" w:pos="471"/>
              </w:tabs>
              <w:spacing w:before="60" w:after="60"/>
              <w:ind w:right="110"/>
              <w:rPr>
                <w:color w:val="000000" w:themeColor="text1"/>
                <w:sz w:val="18"/>
              </w:rPr>
            </w:pPr>
            <w:r w:rsidRPr="001663FC">
              <w:rPr>
                <w:color w:val="000000" w:themeColor="text1"/>
                <w:sz w:val="18"/>
              </w:rPr>
              <w:t xml:space="preserve">a. </w:t>
            </w:r>
            <w:r w:rsidR="00F73A5B" w:rsidRPr="001663FC">
              <w:rPr>
                <w:color w:val="000000" w:themeColor="text1"/>
                <w:sz w:val="18"/>
              </w:rPr>
              <w:t>Data</w:t>
            </w:r>
            <w:r w:rsidR="00F73A5B" w:rsidRPr="001663FC">
              <w:rPr>
                <w:color w:val="000000" w:themeColor="text1"/>
                <w:spacing w:val="-2"/>
                <w:sz w:val="18"/>
              </w:rPr>
              <w:t xml:space="preserve"> </w:t>
            </w:r>
            <w:r w:rsidR="00F73A5B" w:rsidRPr="001663FC">
              <w:rPr>
                <w:color w:val="000000" w:themeColor="text1"/>
                <w:sz w:val="18"/>
              </w:rPr>
              <w:t>not</w:t>
            </w:r>
            <w:r w:rsidR="00F73A5B" w:rsidRPr="001663FC">
              <w:rPr>
                <w:color w:val="000000" w:themeColor="text1"/>
                <w:spacing w:val="-4"/>
                <w:sz w:val="18"/>
              </w:rPr>
              <w:t xml:space="preserve"> </w:t>
            </w:r>
            <w:r w:rsidR="00F73A5B" w:rsidRPr="001663FC">
              <w:rPr>
                <w:color w:val="000000" w:themeColor="text1"/>
                <w:sz w:val="18"/>
              </w:rPr>
              <w:t>currently</w:t>
            </w:r>
            <w:r w:rsidR="00F73A5B" w:rsidRPr="001663FC">
              <w:rPr>
                <w:color w:val="000000" w:themeColor="text1"/>
                <w:spacing w:val="-2"/>
                <w:sz w:val="18"/>
              </w:rPr>
              <w:t xml:space="preserve"> </w:t>
            </w:r>
            <w:r w:rsidR="00F73A5B" w:rsidRPr="001663FC">
              <w:rPr>
                <w:color w:val="000000" w:themeColor="text1"/>
                <w:sz w:val="18"/>
              </w:rPr>
              <w:t>available</w:t>
            </w:r>
            <w:r w:rsidR="00F73A5B" w:rsidRPr="001663FC">
              <w:rPr>
                <w:color w:val="000000" w:themeColor="text1"/>
                <w:spacing w:val="-4"/>
                <w:sz w:val="18"/>
              </w:rPr>
              <w:t xml:space="preserve"> </w:t>
            </w:r>
            <w:r w:rsidR="001663FC">
              <w:rPr>
                <w:color w:val="000000" w:themeColor="text1"/>
                <w:sz w:val="18"/>
              </w:rPr>
              <w:t xml:space="preserve">was </w:t>
            </w:r>
            <w:r w:rsidR="00F73A5B" w:rsidRPr="001663FC">
              <w:rPr>
                <w:color w:val="000000" w:themeColor="text1"/>
                <w:sz w:val="18"/>
              </w:rPr>
              <w:t>published</w:t>
            </w:r>
            <w:r w:rsidR="00F73A5B" w:rsidRPr="001663FC">
              <w:rPr>
                <w:color w:val="000000" w:themeColor="text1"/>
                <w:spacing w:val="-1"/>
                <w:sz w:val="18"/>
              </w:rPr>
              <w:t xml:space="preserve"> </w:t>
            </w:r>
            <w:r w:rsidR="00F73A5B" w:rsidRPr="001663FC">
              <w:rPr>
                <w:color w:val="000000" w:themeColor="text1"/>
                <w:sz w:val="18"/>
              </w:rPr>
              <w:t>on</w:t>
            </w:r>
            <w:r w:rsidR="00F73A5B" w:rsidRPr="001663FC">
              <w:rPr>
                <w:color w:val="000000" w:themeColor="text1"/>
                <w:spacing w:val="-2"/>
                <w:sz w:val="18"/>
              </w:rPr>
              <w:t xml:space="preserve"> </w:t>
            </w:r>
            <w:r w:rsidR="00F73A5B" w:rsidRPr="001663FC">
              <w:rPr>
                <w:color w:val="000000" w:themeColor="text1"/>
                <w:sz w:val="18"/>
              </w:rPr>
              <w:t>the</w:t>
            </w:r>
            <w:r w:rsidR="00F73A5B" w:rsidRPr="001663FC">
              <w:rPr>
                <w:color w:val="000000" w:themeColor="text1"/>
                <w:spacing w:val="-1"/>
                <w:sz w:val="18"/>
              </w:rPr>
              <w:t xml:space="preserve"> </w:t>
            </w:r>
            <w:r w:rsidR="00F73A5B" w:rsidRPr="001663FC">
              <w:rPr>
                <w:color w:val="000000" w:themeColor="text1"/>
                <w:sz w:val="18"/>
              </w:rPr>
              <w:t>department’s</w:t>
            </w:r>
            <w:r w:rsidR="00F73A5B" w:rsidRPr="001663FC">
              <w:rPr>
                <w:color w:val="000000" w:themeColor="text1"/>
                <w:spacing w:val="-2"/>
                <w:sz w:val="18"/>
              </w:rPr>
              <w:t xml:space="preserve"> </w:t>
            </w:r>
            <w:r w:rsidR="00F73A5B" w:rsidRPr="001663FC">
              <w:rPr>
                <w:color w:val="000000" w:themeColor="text1"/>
                <w:sz w:val="18"/>
              </w:rPr>
              <w:t>website</w:t>
            </w:r>
            <w:r w:rsidR="00F73A5B" w:rsidRPr="001663FC">
              <w:rPr>
                <w:color w:val="000000" w:themeColor="text1"/>
                <w:spacing w:val="-1"/>
                <w:sz w:val="18"/>
              </w:rPr>
              <w:t xml:space="preserve"> </w:t>
            </w:r>
            <w:r w:rsidR="00F73A5B" w:rsidRPr="001663FC">
              <w:rPr>
                <w:color w:val="000000" w:themeColor="text1"/>
                <w:sz w:val="18"/>
              </w:rPr>
              <w:t>in</w:t>
            </w:r>
            <w:r w:rsidR="00F73A5B" w:rsidRPr="001663FC">
              <w:rPr>
                <w:color w:val="000000" w:themeColor="text1"/>
                <w:spacing w:val="-4"/>
                <w:sz w:val="18"/>
              </w:rPr>
              <w:t xml:space="preserve"> </w:t>
            </w:r>
            <w:r w:rsidR="001663FC">
              <w:rPr>
                <w:color w:val="000000" w:themeColor="text1"/>
                <w:sz w:val="18"/>
              </w:rPr>
              <w:t>December</w:t>
            </w:r>
            <w:r w:rsidR="00F73A5B" w:rsidRPr="001663FC">
              <w:rPr>
                <w:color w:val="000000" w:themeColor="text1"/>
                <w:spacing w:val="-3"/>
                <w:sz w:val="18"/>
              </w:rPr>
              <w:t xml:space="preserve"> </w:t>
            </w:r>
            <w:r w:rsidR="00F73A5B" w:rsidRPr="001663FC">
              <w:rPr>
                <w:color w:val="000000" w:themeColor="text1"/>
                <w:sz w:val="18"/>
              </w:rPr>
              <w:t>2022</w:t>
            </w:r>
            <w:r w:rsidR="001663FC">
              <w:rPr>
                <w:color w:val="000000" w:themeColor="text1"/>
                <w:sz w:val="18"/>
              </w:rPr>
              <w:t>.</w:t>
            </w:r>
          </w:p>
          <w:p w14:paraId="7C16982D" w14:textId="3A92E0FF" w:rsidR="005F3494" w:rsidRPr="001663FC" w:rsidRDefault="6912D050" w:rsidP="6912D050">
            <w:pPr>
              <w:pStyle w:val="TableParagraph"/>
              <w:tabs>
                <w:tab w:val="left" w:pos="469"/>
                <w:tab w:val="left" w:pos="471"/>
              </w:tabs>
              <w:spacing w:before="60" w:after="60"/>
              <w:ind w:right="110"/>
              <w:rPr>
                <w:color w:val="000000" w:themeColor="text1"/>
                <w:sz w:val="18"/>
                <w:szCs w:val="18"/>
              </w:rPr>
            </w:pPr>
            <w:r w:rsidRPr="001663FC">
              <w:rPr>
                <w:color w:val="000000" w:themeColor="text1"/>
                <w:sz w:val="18"/>
                <w:szCs w:val="18"/>
              </w:rPr>
              <w:t xml:space="preserve">1. This is based on the 10-17 year old cohort who had a proven offence finalised in the preceding 12 month period, who then re-offended within 12 months of their earliest finalisation with a proven offence. Reoffending is only based on a new charge appearing in court </w:t>
            </w:r>
            <w:r w:rsidRPr="001663FC">
              <w:rPr>
                <w:b/>
                <w:bCs/>
                <w:color w:val="000000" w:themeColor="text1"/>
                <w:sz w:val="18"/>
                <w:szCs w:val="18"/>
                <w:u w:val="single"/>
              </w:rPr>
              <w:t>and</w:t>
            </w:r>
            <w:r w:rsidRPr="001663FC">
              <w:rPr>
                <w:color w:val="000000" w:themeColor="text1"/>
                <w:sz w:val="18"/>
                <w:szCs w:val="18"/>
              </w:rPr>
              <w:t xml:space="preserve"> police-referred offences referred to restorative justice that do not get returned to court and any offences that are presented in an adult court.</w:t>
            </w:r>
          </w:p>
          <w:p w14:paraId="2450ED61" w14:textId="798C2C59" w:rsidR="005F3494" w:rsidRDefault="6912D050" w:rsidP="6912D050">
            <w:pPr>
              <w:pStyle w:val="TableParagraph"/>
              <w:tabs>
                <w:tab w:val="left" w:pos="469"/>
                <w:tab w:val="left" w:pos="471"/>
              </w:tabs>
              <w:spacing w:before="60" w:after="60"/>
              <w:ind w:right="110"/>
              <w:rPr>
                <w:color w:val="000000" w:themeColor="text1"/>
                <w:sz w:val="18"/>
                <w:szCs w:val="18"/>
              </w:rPr>
            </w:pPr>
            <w:r w:rsidRPr="001663FC">
              <w:rPr>
                <w:color w:val="000000" w:themeColor="text1"/>
                <w:sz w:val="18"/>
                <w:szCs w:val="18"/>
              </w:rPr>
              <w:t>2. This is based on the average daily number in youth detention centres only divided by the number of permanently funded beds in the period (in 2021-22, there were 288 funded beds)</w:t>
            </w:r>
            <w:r w:rsidR="00817282">
              <w:rPr>
                <w:color w:val="000000" w:themeColor="text1"/>
                <w:sz w:val="18"/>
                <w:szCs w:val="18"/>
              </w:rPr>
              <w:t>.</w:t>
            </w:r>
          </w:p>
          <w:p w14:paraId="60DC54D8" w14:textId="30C9B9E4" w:rsidR="00817282" w:rsidRPr="00817282" w:rsidRDefault="00817282" w:rsidP="00817282">
            <w:pPr>
              <w:pStyle w:val="TableParagraph"/>
              <w:tabs>
                <w:tab w:val="left" w:pos="469"/>
                <w:tab w:val="left" w:pos="471"/>
              </w:tabs>
              <w:spacing w:before="60" w:after="60"/>
              <w:ind w:right="110"/>
              <w:rPr>
                <w:color w:val="000000" w:themeColor="text1"/>
                <w:sz w:val="18"/>
                <w:szCs w:val="18"/>
              </w:rPr>
            </w:pPr>
            <w:r>
              <w:rPr>
                <w:color w:val="000000" w:themeColor="text1"/>
                <w:sz w:val="18"/>
                <w:szCs w:val="18"/>
              </w:rPr>
              <w:t xml:space="preserve">3. </w:t>
            </w:r>
            <w:r w:rsidRPr="00817282">
              <w:rPr>
                <w:color w:val="000000" w:themeColor="text1"/>
                <w:sz w:val="18"/>
                <w:szCs w:val="18"/>
              </w:rPr>
              <w:t xml:space="preserve">A key reason for the increase in youth detention centre utilisation rate reflected in the 2021-22 Actual is likely associated with amendments to the </w:t>
            </w:r>
            <w:r w:rsidRPr="00817282">
              <w:rPr>
                <w:i/>
                <w:iCs/>
                <w:color w:val="000000" w:themeColor="text1"/>
                <w:sz w:val="18"/>
                <w:szCs w:val="18"/>
              </w:rPr>
              <w:t>Youth Justice Act 1992</w:t>
            </w:r>
            <w:r w:rsidRPr="00817282">
              <w:rPr>
                <w:color w:val="000000" w:themeColor="text1"/>
                <w:sz w:val="18"/>
                <w:szCs w:val="18"/>
              </w:rPr>
              <w:t xml:space="preserve"> passed in April 2021</w:t>
            </w:r>
            <w:r>
              <w:rPr>
                <w:color w:val="000000" w:themeColor="text1"/>
                <w:sz w:val="18"/>
                <w:szCs w:val="18"/>
              </w:rPr>
              <w:t>,</w:t>
            </w:r>
            <w:r w:rsidRPr="00817282">
              <w:rPr>
                <w:color w:val="000000" w:themeColor="text1"/>
                <w:sz w:val="18"/>
                <w:szCs w:val="18"/>
              </w:rPr>
              <w:t xml:space="preserve"> designed to strengthen how young offenders are dealt with in the court system. It includes introducing requirements for young offenders already on bail who are arrested and charged with further serious offences whilst on bail to show cause when applying for bail (known as a presumption against bail); a new principle in the Youth Justice Act that stresses the community must be protected from repeat youth offenders; and codifying the common law principle that a young person who further offends while they are on bail may be given a tougher sentence.</w:t>
            </w:r>
            <w:r w:rsidRPr="00817282" w:rsidDel="00B56049">
              <w:rPr>
                <w:color w:val="000000" w:themeColor="text1"/>
                <w:sz w:val="18"/>
                <w:szCs w:val="18"/>
              </w:rPr>
              <w:t xml:space="preserve"> </w:t>
            </w:r>
          </w:p>
          <w:p w14:paraId="0851F27E" w14:textId="0256393A" w:rsidR="005F3494" w:rsidRPr="001663FC" w:rsidRDefault="00817282" w:rsidP="6912D050">
            <w:pPr>
              <w:pStyle w:val="TableParagraph"/>
              <w:tabs>
                <w:tab w:val="left" w:pos="469"/>
                <w:tab w:val="left" w:pos="471"/>
              </w:tabs>
              <w:spacing w:before="60" w:after="60"/>
              <w:ind w:right="110"/>
              <w:rPr>
                <w:color w:val="000000" w:themeColor="text1"/>
                <w:sz w:val="18"/>
                <w:szCs w:val="18"/>
              </w:rPr>
            </w:pPr>
            <w:r>
              <w:rPr>
                <w:color w:val="000000" w:themeColor="text1"/>
                <w:sz w:val="18"/>
                <w:szCs w:val="18"/>
              </w:rPr>
              <w:t>4</w:t>
            </w:r>
            <w:r w:rsidR="6912D050" w:rsidRPr="001663FC">
              <w:rPr>
                <w:color w:val="000000" w:themeColor="text1"/>
                <w:sz w:val="18"/>
                <w:szCs w:val="18"/>
              </w:rPr>
              <w:t xml:space="preserve">. This is based on the 10-15 year old cohort who had a proven offence finalised in the preceding 12 month period, who then re-offended within 12 months of their earliest finalisation with a proven offence. Reoffending is only based on a new charge appearing in court (i.e., </w:t>
            </w:r>
            <w:r w:rsidR="6912D050" w:rsidRPr="001663FC">
              <w:rPr>
                <w:color w:val="000000" w:themeColor="text1"/>
                <w:sz w:val="18"/>
                <w:szCs w:val="18"/>
                <w:u w:val="single"/>
              </w:rPr>
              <w:t>excludes</w:t>
            </w:r>
            <w:r w:rsidR="6912D050" w:rsidRPr="001663FC">
              <w:rPr>
                <w:color w:val="000000" w:themeColor="text1"/>
                <w:sz w:val="18"/>
                <w:szCs w:val="18"/>
              </w:rPr>
              <w:t xml:space="preserve"> police-referred offences referred to restorative justice that do not get returned to court and any offences that are presented in an adult court). This re-offending measure will be replaced by a new reoffending measure (10-17 year </w:t>
            </w:r>
            <w:proofErr w:type="spellStart"/>
            <w:r w:rsidR="6912D050" w:rsidRPr="001663FC">
              <w:rPr>
                <w:color w:val="000000" w:themeColor="text1"/>
                <w:sz w:val="18"/>
                <w:szCs w:val="18"/>
              </w:rPr>
              <w:t>olds</w:t>
            </w:r>
            <w:proofErr w:type="spellEnd"/>
            <w:r w:rsidR="6912D050" w:rsidRPr="001663FC">
              <w:rPr>
                <w:color w:val="000000" w:themeColor="text1"/>
                <w:sz w:val="18"/>
                <w:szCs w:val="18"/>
              </w:rPr>
              <w:t xml:space="preserve">) commencing in 2022-23. This new re-offending measure will also include police-referred offence referred to restorative justice as well as offences that are presented in an adult court.   </w:t>
            </w:r>
          </w:p>
        </w:tc>
      </w:tr>
    </w:tbl>
    <w:p w14:paraId="7FB899CD" w14:textId="77777777" w:rsidR="00870C3E" w:rsidRDefault="00870C3E"/>
    <w:sectPr w:rsidR="00870C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E18F7"/>
    <w:multiLevelType w:val="hybridMultilevel"/>
    <w:tmpl w:val="02585628"/>
    <w:lvl w:ilvl="0" w:tplc="ADB21940">
      <w:start w:val="1"/>
      <w:numFmt w:val="decimal"/>
      <w:lvlText w:val="%1."/>
      <w:lvlJc w:val="left"/>
      <w:pPr>
        <w:ind w:left="470" w:hanging="360"/>
      </w:pPr>
      <w:rPr>
        <w:rFonts w:ascii="Arial" w:eastAsia="Arial" w:hAnsi="Arial" w:cs="Arial" w:hint="default"/>
        <w:b w:val="0"/>
        <w:bCs w:val="0"/>
        <w:i w:val="0"/>
        <w:iCs w:val="0"/>
        <w:w w:val="100"/>
        <w:sz w:val="18"/>
        <w:szCs w:val="18"/>
        <w:lang w:val="en-AU" w:eastAsia="en-US" w:bidi="ar-SA"/>
      </w:rPr>
    </w:lvl>
    <w:lvl w:ilvl="1" w:tplc="149E3D58">
      <w:numFmt w:val="bullet"/>
      <w:lvlText w:val="•"/>
      <w:lvlJc w:val="left"/>
      <w:pPr>
        <w:ind w:left="1332" w:hanging="360"/>
      </w:pPr>
      <w:rPr>
        <w:rFonts w:hint="default"/>
        <w:lang w:val="en-AU" w:eastAsia="en-US" w:bidi="ar-SA"/>
      </w:rPr>
    </w:lvl>
    <w:lvl w:ilvl="2" w:tplc="D76008A0">
      <w:numFmt w:val="bullet"/>
      <w:lvlText w:val="•"/>
      <w:lvlJc w:val="left"/>
      <w:pPr>
        <w:ind w:left="2185" w:hanging="360"/>
      </w:pPr>
      <w:rPr>
        <w:rFonts w:hint="default"/>
        <w:lang w:val="en-AU" w:eastAsia="en-US" w:bidi="ar-SA"/>
      </w:rPr>
    </w:lvl>
    <w:lvl w:ilvl="3" w:tplc="2B2CA8BE">
      <w:numFmt w:val="bullet"/>
      <w:lvlText w:val="•"/>
      <w:lvlJc w:val="left"/>
      <w:pPr>
        <w:ind w:left="3037" w:hanging="360"/>
      </w:pPr>
      <w:rPr>
        <w:rFonts w:hint="default"/>
        <w:lang w:val="en-AU" w:eastAsia="en-US" w:bidi="ar-SA"/>
      </w:rPr>
    </w:lvl>
    <w:lvl w:ilvl="4" w:tplc="027A3F84">
      <w:numFmt w:val="bullet"/>
      <w:lvlText w:val="•"/>
      <w:lvlJc w:val="left"/>
      <w:pPr>
        <w:ind w:left="3890" w:hanging="360"/>
      </w:pPr>
      <w:rPr>
        <w:rFonts w:hint="default"/>
        <w:lang w:val="en-AU" w:eastAsia="en-US" w:bidi="ar-SA"/>
      </w:rPr>
    </w:lvl>
    <w:lvl w:ilvl="5" w:tplc="3F4A761E">
      <w:numFmt w:val="bullet"/>
      <w:lvlText w:val="•"/>
      <w:lvlJc w:val="left"/>
      <w:pPr>
        <w:ind w:left="4743" w:hanging="360"/>
      </w:pPr>
      <w:rPr>
        <w:rFonts w:hint="default"/>
        <w:lang w:val="en-AU" w:eastAsia="en-US" w:bidi="ar-SA"/>
      </w:rPr>
    </w:lvl>
    <w:lvl w:ilvl="6" w:tplc="D616B58E">
      <w:numFmt w:val="bullet"/>
      <w:lvlText w:val="•"/>
      <w:lvlJc w:val="left"/>
      <w:pPr>
        <w:ind w:left="5595" w:hanging="360"/>
      </w:pPr>
      <w:rPr>
        <w:rFonts w:hint="default"/>
        <w:lang w:val="en-AU" w:eastAsia="en-US" w:bidi="ar-SA"/>
      </w:rPr>
    </w:lvl>
    <w:lvl w:ilvl="7" w:tplc="AAF4E5C6">
      <w:numFmt w:val="bullet"/>
      <w:lvlText w:val="•"/>
      <w:lvlJc w:val="left"/>
      <w:pPr>
        <w:ind w:left="6448" w:hanging="360"/>
      </w:pPr>
      <w:rPr>
        <w:rFonts w:hint="default"/>
        <w:lang w:val="en-AU" w:eastAsia="en-US" w:bidi="ar-SA"/>
      </w:rPr>
    </w:lvl>
    <w:lvl w:ilvl="8" w:tplc="6D52436E">
      <w:numFmt w:val="bullet"/>
      <w:lvlText w:val="•"/>
      <w:lvlJc w:val="left"/>
      <w:pPr>
        <w:ind w:left="7300" w:hanging="360"/>
      </w:pPr>
      <w:rPr>
        <w:rFonts w:hint="default"/>
        <w:lang w:val="en-AU" w:eastAsia="en-US" w:bidi="ar-SA"/>
      </w:rPr>
    </w:lvl>
  </w:abstractNum>
  <w:abstractNum w:abstractNumId="1" w15:restartNumberingAfterBreak="0">
    <w:nsid w:val="60980422"/>
    <w:multiLevelType w:val="hybridMultilevel"/>
    <w:tmpl w:val="A1408728"/>
    <w:lvl w:ilvl="0" w:tplc="4CD86A7C">
      <w:numFmt w:val="bullet"/>
      <w:lvlText w:val="-"/>
      <w:lvlJc w:val="left"/>
      <w:pPr>
        <w:ind w:left="835" w:hanging="360"/>
      </w:pPr>
      <w:rPr>
        <w:rFonts w:ascii="Arial" w:eastAsia="Arial" w:hAnsi="Arial" w:cs="Arial" w:hint="default"/>
      </w:rPr>
    </w:lvl>
    <w:lvl w:ilvl="1" w:tplc="0C090003">
      <w:start w:val="1"/>
      <w:numFmt w:val="bullet"/>
      <w:lvlText w:val="o"/>
      <w:lvlJc w:val="left"/>
      <w:pPr>
        <w:ind w:left="1555" w:hanging="360"/>
      </w:pPr>
      <w:rPr>
        <w:rFonts w:ascii="Courier New" w:hAnsi="Courier New" w:cs="Courier New" w:hint="default"/>
      </w:rPr>
    </w:lvl>
    <w:lvl w:ilvl="2" w:tplc="0C090005" w:tentative="1">
      <w:start w:val="1"/>
      <w:numFmt w:val="bullet"/>
      <w:lvlText w:val=""/>
      <w:lvlJc w:val="left"/>
      <w:pPr>
        <w:ind w:left="2275" w:hanging="360"/>
      </w:pPr>
      <w:rPr>
        <w:rFonts w:ascii="Wingdings" w:hAnsi="Wingdings" w:hint="default"/>
      </w:rPr>
    </w:lvl>
    <w:lvl w:ilvl="3" w:tplc="0C090001" w:tentative="1">
      <w:start w:val="1"/>
      <w:numFmt w:val="bullet"/>
      <w:lvlText w:val=""/>
      <w:lvlJc w:val="left"/>
      <w:pPr>
        <w:ind w:left="2995" w:hanging="360"/>
      </w:pPr>
      <w:rPr>
        <w:rFonts w:ascii="Symbol" w:hAnsi="Symbol" w:hint="default"/>
      </w:rPr>
    </w:lvl>
    <w:lvl w:ilvl="4" w:tplc="0C090003" w:tentative="1">
      <w:start w:val="1"/>
      <w:numFmt w:val="bullet"/>
      <w:lvlText w:val="o"/>
      <w:lvlJc w:val="left"/>
      <w:pPr>
        <w:ind w:left="3715" w:hanging="360"/>
      </w:pPr>
      <w:rPr>
        <w:rFonts w:ascii="Courier New" w:hAnsi="Courier New" w:cs="Courier New" w:hint="default"/>
      </w:rPr>
    </w:lvl>
    <w:lvl w:ilvl="5" w:tplc="0C090005" w:tentative="1">
      <w:start w:val="1"/>
      <w:numFmt w:val="bullet"/>
      <w:lvlText w:val=""/>
      <w:lvlJc w:val="left"/>
      <w:pPr>
        <w:ind w:left="4435" w:hanging="360"/>
      </w:pPr>
      <w:rPr>
        <w:rFonts w:ascii="Wingdings" w:hAnsi="Wingdings" w:hint="default"/>
      </w:rPr>
    </w:lvl>
    <w:lvl w:ilvl="6" w:tplc="0C090001" w:tentative="1">
      <w:start w:val="1"/>
      <w:numFmt w:val="bullet"/>
      <w:lvlText w:val=""/>
      <w:lvlJc w:val="left"/>
      <w:pPr>
        <w:ind w:left="5155" w:hanging="360"/>
      </w:pPr>
      <w:rPr>
        <w:rFonts w:ascii="Symbol" w:hAnsi="Symbol" w:hint="default"/>
      </w:rPr>
    </w:lvl>
    <w:lvl w:ilvl="7" w:tplc="0C090003" w:tentative="1">
      <w:start w:val="1"/>
      <w:numFmt w:val="bullet"/>
      <w:lvlText w:val="o"/>
      <w:lvlJc w:val="left"/>
      <w:pPr>
        <w:ind w:left="5875" w:hanging="360"/>
      </w:pPr>
      <w:rPr>
        <w:rFonts w:ascii="Courier New" w:hAnsi="Courier New" w:cs="Courier New" w:hint="default"/>
      </w:rPr>
    </w:lvl>
    <w:lvl w:ilvl="8" w:tplc="0C090005" w:tentative="1">
      <w:start w:val="1"/>
      <w:numFmt w:val="bullet"/>
      <w:lvlText w:val=""/>
      <w:lvlJc w:val="left"/>
      <w:pPr>
        <w:ind w:left="6595" w:hanging="360"/>
      </w:pPr>
      <w:rPr>
        <w:rFonts w:ascii="Wingdings" w:hAnsi="Wingdings" w:hint="default"/>
      </w:rPr>
    </w:lvl>
  </w:abstractNum>
  <w:abstractNum w:abstractNumId="2" w15:restartNumberingAfterBreak="0">
    <w:nsid w:val="66FC0E07"/>
    <w:multiLevelType w:val="hybridMultilevel"/>
    <w:tmpl w:val="5D3C21F6"/>
    <w:lvl w:ilvl="0" w:tplc="1AB8621A">
      <w:start w:val="1"/>
      <w:numFmt w:val="decimal"/>
      <w:pStyle w:val="NoteIndent"/>
      <w:lvlText w:val="%1."/>
      <w:lvlJc w:val="left"/>
      <w:pPr>
        <w:ind w:left="360" w:hanging="360"/>
      </w:pPr>
      <w:rPr>
        <w:rFonts w:ascii="Arial" w:hAnsi="Arial" w:hint="default"/>
        <w:b w:val="0"/>
        <w:i w:val="0"/>
        <w:sz w:val="16"/>
        <w:u w:val="none"/>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A5B"/>
    <w:rsid w:val="001663FC"/>
    <w:rsid w:val="00235E51"/>
    <w:rsid w:val="002C66BE"/>
    <w:rsid w:val="00323262"/>
    <w:rsid w:val="005F3494"/>
    <w:rsid w:val="00755B00"/>
    <w:rsid w:val="00817282"/>
    <w:rsid w:val="00870C3E"/>
    <w:rsid w:val="008F6626"/>
    <w:rsid w:val="00D76DF2"/>
    <w:rsid w:val="00F73A5B"/>
    <w:rsid w:val="6912D0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3CE5B"/>
  <w15:chartTrackingRefBased/>
  <w15:docId w15:val="{916F053B-8BA2-4F94-8007-AE18015C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A5B"/>
    <w:pPr>
      <w:widowControl w:val="0"/>
      <w:autoSpaceDE w:val="0"/>
      <w:autoSpaceDN w:val="0"/>
      <w:spacing w:after="0" w:line="240" w:lineRule="auto"/>
    </w:pPr>
    <w:rPr>
      <w:rFonts w:ascii="Arial" w:eastAsia="Arial" w:hAnsi="Arial" w:cs="Arial"/>
    </w:rPr>
  </w:style>
  <w:style w:type="paragraph" w:styleId="Heading2">
    <w:name w:val="heading 2"/>
    <w:basedOn w:val="Normal"/>
    <w:link w:val="Heading2Char"/>
    <w:uiPriority w:val="9"/>
    <w:unhideWhenUsed/>
    <w:qFormat/>
    <w:rsid w:val="00F73A5B"/>
    <w:pPr>
      <w:ind w:left="112"/>
      <w:outlineLvl w:val="1"/>
    </w:pPr>
    <w:rPr>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3A5B"/>
    <w:rPr>
      <w:rFonts w:ascii="Arial" w:eastAsia="Arial" w:hAnsi="Arial" w:cs="Arial"/>
      <w:sz w:val="48"/>
      <w:szCs w:val="48"/>
    </w:rPr>
  </w:style>
  <w:style w:type="paragraph" w:styleId="BodyText">
    <w:name w:val="Body Text"/>
    <w:basedOn w:val="Normal"/>
    <w:link w:val="BodyTextChar"/>
    <w:uiPriority w:val="1"/>
    <w:qFormat/>
    <w:rsid w:val="00F73A5B"/>
  </w:style>
  <w:style w:type="character" w:customStyle="1" w:styleId="BodyTextChar">
    <w:name w:val="Body Text Char"/>
    <w:basedOn w:val="DefaultParagraphFont"/>
    <w:link w:val="BodyText"/>
    <w:uiPriority w:val="1"/>
    <w:rsid w:val="00F73A5B"/>
    <w:rPr>
      <w:rFonts w:ascii="Arial" w:eastAsia="Arial" w:hAnsi="Arial" w:cs="Arial"/>
    </w:rPr>
  </w:style>
  <w:style w:type="paragraph" w:customStyle="1" w:styleId="TableParagraph">
    <w:name w:val="Table Paragraph"/>
    <w:basedOn w:val="Normal"/>
    <w:uiPriority w:val="1"/>
    <w:qFormat/>
    <w:rsid w:val="00F73A5B"/>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NoteIndent">
    <w:name w:val="Note Indent"/>
    <w:basedOn w:val="Normal"/>
    <w:uiPriority w:val="22"/>
    <w:qFormat/>
    <w:rsid w:val="00817282"/>
    <w:pPr>
      <w:widowControl/>
      <w:numPr>
        <w:numId w:val="3"/>
      </w:numPr>
      <w:tabs>
        <w:tab w:val="left" w:pos="357"/>
      </w:tabs>
      <w:autoSpaceDE/>
      <w:autoSpaceDN/>
      <w:spacing w:before="60" w:after="60" w:line="264" w:lineRule="auto"/>
    </w:pPr>
    <w:rPr>
      <w:rFonts w:eastAsiaTheme="minorHAnsi" w:cstheme="minorBidi"/>
      <w:sz w:val="16"/>
      <w:szCs w:val="18"/>
    </w:rPr>
  </w:style>
  <w:style w:type="character" w:styleId="Hyperlink">
    <w:name w:val="Hyperlink"/>
    <w:basedOn w:val="DefaultParagraphFont"/>
    <w:uiPriority w:val="99"/>
    <w:unhideWhenUsed/>
    <w:rsid w:val="002C66BE"/>
    <w:rPr>
      <w:color w:val="0563C1" w:themeColor="hyperlink"/>
      <w:u w:val="single"/>
    </w:rPr>
  </w:style>
  <w:style w:type="character" w:styleId="UnresolvedMention">
    <w:name w:val="Unresolved Mention"/>
    <w:basedOn w:val="DefaultParagraphFont"/>
    <w:uiPriority w:val="99"/>
    <w:semiHidden/>
    <w:unhideWhenUsed/>
    <w:rsid w:val="002C6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62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customXml/item2.xml" Type="http://schemas.openxmlformats.org/officeDocument/2006/relationships/customXml"/>
<Relationship Id="rId3" Target="../customXml/item3.xml" Type="http://schemas.openxmlformats.org/officeDocument/2006/relationships/customXml"/>
<Relationship Id="rId4" Target="numbering.xml" Type="http://schemas.openxmlformats.org/officeDocument/2006/relationships/numbering"/>
<Relationship Id="rId5" Target="styles.xml" Type="http://schemas.openxmlformats.org/officeDocument/2006/relationships/styles"/>
<Relationship Id="rId6" Target="settings.xml" Type="http://schemas.openxmlformats.org/officeDocument/2006/relationships/settings"/>
<Relationship Id="rId7" Target="webSettings.xml" Type="http://schemas.openxmlformats.org/officeDocument/2006/relationships/webSettings"/>
<Relationship Id="rId8" Target="https://www.cyjma.qld.gov.au/about-us/our-department/corporate-publications/annual-report" TargetMode="External" Type="http://schemas.openxmlformats.org/officeDocument/2006/relationships/hyperlink"/>
<Relationship Id="rId9" Target="fontTable.xml" Type="http://schemas.openxmlformats.org/officeDocument/2006/relationships/fontTabl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550071-D0BB-4855-BC18-68C7394931A6}">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0D86123-19AB-433C-A055-292054D8CD25}">
  <ds:schemaRefs>
    <ds:schemaRef ds:uri="http://schemas.microsoft.com/sharepoint/v3/contenttype/forms"/>
  </ds:schemaRefs>
</ds:datastoreItem>
</file>

<file path=customXml/itemProps3.xml><?xml version="1.0" encoding="utf-8"?>
<ds:datastoreItem xmlns:ds="http://schemas.openxmlformats.org/officeDocument/2006/customXml" ds:itemID="{C48F580E-DA39-4CB3-B0D6-E0133B047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2022-12-16T04:11:00Z</dcterms:created>
  <dc:creator>Queensland Government</dc:creator>
  <cp:keywords>performance, youth, justice, statement, yj</cp:keywords>
  <cp:lastModifiedBy>Elaine Sharrock</cp:lastModifiedBy>
  <dcterms:modified xsi:type="dcterms:W3CDTF">2022-12-16T04:11:00Z</dcterms:modified>
  <cp:revision>2</cp:revision>
  <dc:subject>Statement</dc:subject>
  <dc:title>Performance statement 2021-22 - Youth Justice Services</dc:title>
</cp:coreProperties>
</file>